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8F" w:rsidRPr="00FE1BAC" w:rsidRDefault="00190A8F" w:rsidP="00132FAB">
      <w:pPr>
        <w:jc w:val="both"/>
        <w:rPr>
          <w:rFonts w:ascii="Arial" w:hAnsi="Arial" w:cs="Arial"/>
          <w:color w:val="000000"/>
          <w:sz w:val="20"/>
          <w:szCs w:val="20"/>
        </w:rPr>
      </w:pPr>
    </w:p>
    <w:p w:rsidR="00190A8F" w:rsidRDefault="00190A8F" w:rsidP="00547D8F">
      <w:pPr>
        <w:jc w:val="both"/>
        <w:rPr>
          <w:rFonts w:ascii="Arial" w:hAnsi="Arial" w:cs="Arial"/>
          <w:color w:val="000000"/>
          <w:sz w:val="20"/>
          <w:szCs w:val="20"/>
        </w:rPr>
      </w:pPr>
      <w:r w:rsidRPr="000770CD">
        <w:rPr>
          <w:rFonts w:ascii="Arial" w:hAnsi="Arial" w:cs="Arial"/>
          <w:color w:val="000000"/>
          <w:sz w:val="20"/>
          <w:szCs w:val="20"/>
        </w:rPr>
        <w:t>Na podlagi tretjega odstavka 23. člena Zakona o spodbujanju skladnega regionalnega razvoja (Uradni list RS, št. 20/11 in 57/12) izdaja minister za gospodarski razvoj in tehnologijo</w:t>
      </w:r>
    </w:p>
    <w:p w:rsidR="00547D8F" w:rsidRPr="000770CD" w:rsidRDefault="00547D8F" w:rsidP="00547D8F">
      <w:pPr>
        <w:jc w:val="both"/>
        <w:rPr>
          <w:rFonts w:ascii="Arial" w:hAnsi="Arial" w:cs="Arial"/>
          <w:color w:val="000000"/>
          <w:sz w:val="20"/>
          <w:szCs w:val="20"/>
        </w:rPr>
      </w:pPr>
    </w:p>
    <w:p w:rsidR="00190A8F" w:rsidRPr="000770CD" w:rsidRDefault="00190A8F" w:rsidP="00132FAB">
      <w:pPr>
        <w:spacing w:after="210" w:line="240" w:lineRule="auto"/>
        <w:jc w:val="center"/>
        <w:rPr>
          <w:rFonts w:ascii="Arial" w:hAnsi="Arial" w:cs="Arial"/>
          <w:b/>
          <w:caps/>
          <w:color w:val="000000"/>
          <w:sz w:val="20"/>
          <w:szCs w:val="20"/>
        </w:rPr>
      </w:pPr>
      <w:r w:rsidRPr="000770CD">
        <w:rPr>
          <w:rFonts w:ascii="Arial" w:hAnsi="Arial" w:cs="Arial"/>
          <w:b/>
          <w:caps/>
          <w:color w:val="000000"/>
          <w:sz w:val="20"/>
          <w:szCs w:val="20"/>
        </w:rPr>
        <w:t xml:space="preserve">P r a v i l n i k </w:t>
      </w:r>
    </w:p>
    <w:p w:rsidR="00190A8F" w:rsidRPr="000770CD" w:rsidRDefault="00190A8F" w:rsidP="00132FAB">
      <w:pPr>
        <w:spacing w:after="210" w:line="240" w:lineRule="auto"/>
        <w:jc w:val="center"/>
        <w:rPr>
          <w:rFonts w:ascii="Arial" w:hAnsi="Arial" w:cs="Arial"/>
          <w:b/>
          <w:bCs/>
          <w:color w:val="000000"/>
          <w:sz w:val="20"/>
          <w:szCs w:val="20"/>
          <w:lang w:eastAsia="sl-SI"/>
        </w:rPr>
      </w:pPr>
      <w:r w:rsidRPr="000770CD">
        <w:rPr>
          <w:rFonts w:ascii="Arial" w:hAnsi="Arial" w:cs="Arial"/>
          <w:b/>
          <w:color w:val="000000"/>
          <w:sz w:val="20"/>
          <w:szCs w:val="20"/>
        </w:rPr>
        <w:t>o razvrstitvi razvojnih regij po stopnji razvitosti</w:t>
      </w:r>
      <w:r w:rsidR="008B1664">
        <w:rPr>
          <w:rFonts w:ascii="Arial" w:hAnsi="Arial" w:cs="Arial"/>
          <w:b/>
          <w:color w:val="000000"/>
          <w:sz w:val="20"/>
          <w:szCs w:val="20"/>
        </w:rPr>
        <w:t xml:space="preserve"> za programsko obdobje 2014–2020</w:t>
      </w:r>
    </w:p>
    <w:p w:rsidR="00190A8F" w:rsidRPr="000770CD" w:rsidRDefault="00190A8F" w:rsidP="00132FAB">
      <w:pPr>
        <w:spacing w:after="210" w:line="240" w:lineRule="auto"/>
        <w:jc w:val="center"/>
        <w:rPr>
          <w:rFonts w:ascii="Arial" w:hAnsi="Arial" w:cs="Arial"/>
          <w:b/>
          <w:bCs/>
          <w:color w:val="000000"/>
          <w:sz w:val="20"/>
          <w:szCs w:val="20"/>
          <w:lang w:eastAsia="sl-SI"/>
        </w:rPr>
      </w:pPr>
      <w:r w:rsidRPr="000770CD">
        <w:rPr>
          <w:rFonts w:ascii="Arial" w:hAnsi="Arial" w:cs="Arial"/>
          <w:b/>
          <w:bCs/>
          <w:color w:val="000000"/>
          <w:sz w:val="20"/>
          <w:szCs w:val="20"/>
          <w:lang w:eastAsia="sl-SI"/>
        </w:rPr>
        <w:t>1. člen</w:t>
      </w:r>
    </w:p>
    <w:p w:rsidR="00190A8F" w:rsidRPr="000770CD" w:rsidRDefault="00190A8F" w:rsidP="00132FAB">
      <w:pPr>
        <w:spacing w:after="210" w:line="240" w:lineRule="auto"/>
        <w:jc w:val="center"/>
        <w:rPr>
          <w:rFonts w:ascii="Arial" w:hAnsi="Arial" w:cs="Arial"/>
          <w:b/>
          <w:bCs/>
          <w:color w:val="000000"/>
          <w:sz w:val="20"/>
          <w:szCs w:val="20"/>
          <w:lang w:eastAsia="sl-SI"/>
        </w:rPr>
      </w:pPr>
      <w:r w:rsidRPr="000770CD">
        <w:rPr>
          <w:rFonts w:ascii="Arial" w:hAnsi="Arial" w:cs="Arial"/>
          <w:b/>
          <w:bCs/>
          <w:color w:val="000000"/>
          <w:sz w:val="20"/>
          <w:szCs w:val="20"/>
          <w:lang w:eastAsia="sl-SI"/>
        </w:rPr>
        <w:t>(vsebina pravilnika)</w:t>
      </w:r>
    </w:p>
    <w:p w:rsidR="00190A8F" w:rsidRPr="00FE1BAC" w:rsidRDefault="00190A8F" w:rsidP="00F70160">
      <w:pPr>
        <w:jc w:val="both"/>
        <w:rPr>
          <w:rFonts w:ascii="Arial" w:hAnsi="Arial" w:cs="Arial"/>
          <w:color w:val="000000"/>
          <w:sz w:val="20"/>
          <w:szCs w:val="20"/>
        </w:rPr>
      </w:pPr>
      <w:r w:rsidRPr="00FE1BAC">
        <w:rPr>
          <w:rFonts w:ascii="Arial" w:hAnsi="Arial" w:cs="Arial"/>
          <w:color w:val="000000"/>
          <w:sz w:val="20"/>
          <w:szCs w:val="20"/>
        </w:rPr>
        <w:t xml:space="preserve">Ta pravilnik podrobneje določa kazalnike in metodo za izračun indeksa razvojne ogroženosti za programsko obdobje 2014–2020 ter razvršča  razvojne regije (v nadaljnjem besedilu: regije NUTS 3) po stopnji razvitosti. </w:t>
      </w:r>
      <w:r w:rsidR="00A70689">
        <w:rPr>
          <w:rFonts w:ascii="Arial" w:hAnsi="Arial" w:cs="Arial"/>
          <w:color w:val="000000"/>
          <w:sz w:val="20"/>
          <w:szCs w:val="20"/>
        </w:rPr>
        <w:t xml:space="preserve">Statistična teritorialna členitev Republike Slovenije po regijah </w:t>
      </w:r>
      <w:r w:rsidRPr="00FE1BAC">
        <w:rPr>
          <w:rFonts w:ascii="Arial" w:hAnsi="Arial" w:cs="Arial"/>
          <w:color w:val="000000"/>
          <w:sz w:val="20"/>
          <w:szCs w:val="20"/>
        </w:rPr>
        <w:t xml:space="preserve"> NUTS 3 </w:t>
      </w:r>
      <w:r w:rsidR="00A70689">
        <w:rPr>
          <w:rFonts w:ascii="Arial" w:hAnsi="Arial" w:cs="Arial"/>
          <w:color w:val="000000"/>
          <w:sz w:val="20"/>
          <w:szCs w:val="20"/>
        </w:rPr>
        <w:t>je</w:t>
      </w:r>
      <w:r w:rsidRPr="00FE1BAC">
        <w:rPr>
          <w:rFonts w:ascii="Arial" w:hAnsi="Arial" w:cs="Arial"/>
          <w:color w:val="000000"/>
          <w:sz w:val="20"/>
          <w:szCs w:val="20"/>
        </w:rPr>
        <w:t xml:space="preserve"> določen</w:t>
      </w:r>
      <w:r w:rsidR="00A70689">
        <w:rPr>
          <w:rFonts w:ascii="Arial" w:hAnsi="Arial" w:cs="Arial"/>
          <w:color w:val="000000"/>
          <w:sz w:val="20"/>
          <w:szCs w:val="20"/>
        </w:rPr>
        <w:t>a</w:t>
      </w:r>
      <w:r w:rsidRPr="00FE1BAC">
        <w:rPr>
          <w:rFonts w:ascii="Arial" w:hAnsi="Arial" w:cs="Arial"/>
          <w:color w:val="000000"/>
          <w:sz w:val="20"/>
          <w:szCs w:val="20"/>
        </w:rPr>
        <w:t xml:space="preserve"> z Uredbo Evropskega parlamenta in Sveta (ES) št. 1888/2005 z dne 26. oktobra 2005 o spremembah Uredbe (ES) št. 1059/2003 o oblikovanju skupne klasifikacije statističnih teritorialnih enot (NUTS) zaradi pristopa Češke, Estonije, Cipra, Latvije, Litve, Madžarske, Malte, Slovenije in Slovaške k Evropski uniji (UL L, št. 309 z dne 25. 11. 2005, str. 1).</w:t>
      </w:r>
    </w:p>
    <w:p w:rsidR="00190A8F" w:rsidRPr="00FE1BAC" w:rsidRDefault="00190A8F" w:rsidP="00132FAB">
      <w:pPr>
        <w:spacing w:after="210" w:line="240" w:lineRule="auto"/>
        <w:jc w:val="center"/>
        <w:rPr>
          <w:rFonts w:ascii="Arial" w:hAnsi="Arial" w:cs="Arial"/>
          <w:b/>
          <w:bCs/>
          <w:color w:val="000000"/>
          <w:sz w:val="20"/>
          <w:szCs w:val="20"/>
          <w:lang w:eastAsia="sl-SI"/>
        </w:rPr>
      </w:pPr>
      <w:r w:rsidRPr="00FE1BAC">
        <w:rPr>
          <w:rFonts w:ascii="Arial" w:hAnsi="Arial" w:cs="Arial"/>
          <w:b/>
          <w:bCs/>
          <w:color w:val="000000"/>
          <w:sz w:val="20"/>
          <w:szCs w:val="20"/>
          <w:lang w:eastAsia="sl-SI"/>
        </w:rPr>
        <w:t>2. člen</w:t>
      </w:r>
    </w:p>
    <w:p w:rsidR="00190A8F" w:rsidRPr="00FE1BAC" w:rsidRDefault="00190A8F" w:rsidP="00132FAB">
      <w:pPr>
        <w:spacing w:after="210" w:line="240" w:lineRule="auto"/>
        <w:jc w:val="center"/>
        <w:rPr>
          <w:rFonts w:ascii="Arial" w:hAnsi="Arial" w:cs="Arial"/>
          <w:b/>
          <w:bCs/>
          <w:color w:val="000000"/>
          <w:sz w:val="20"/>
          <w:szCs w:val="20"/>
          <w:lang w:eastAsia="sl-SI"/>
        </w:rPr>
      </w:pPr>
      <w:r w:rsidRPr="00FE1BAC">
        <w:rPr>
          <w:rFonts w:ascii="Arial" w:hAnsi="Arial" w:cs="Arial"/>
          <w:b/>
          <w:bCs/>
          <w:color w:val="000000"/>
          <w:sz w:val="20"/>
          <w:szCs w:val="20"/>
          <w:lang w:eastAsia="sl-SI"/>
        </w:rPr>
        <w:t>(kazalniki in metoda za izračun)</w:t>
      </w:r>
    </w:p>
    <w:p w:rsidR="00190A8F" w:rsidRPr="00FE1BAC" w:rsidRDefault="00190A8F" w:rsidP="00625DC1">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(1) Kazalniki razvitosti, ogroženosti in razvojnih možnosti so: </w:t>
      </w:r>
    </w:p>
    <w:p w:rsidR="00190A8F" w:rsidRPr="00FE1BAC" w:rsidRDefault="00190A8F" w:rsidP="00625DC1">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bruto domači proizvod na prebivalca,</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bruto dodana vrednost na zaposlenega,</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delež bruto investicij v nova osnovna sredstva v bruto domačem proizvodu,</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stopnja registrirane brezposelnosti mladih v starosti 15–29 let,</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stopnja delovne aktivnosti v starosti 20–64 let,</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delež prebivalstva s terciarno izobrazbo v </w:t>
      </w:r>
      <w:r>
        <w:rPr>
          <w:rFonts w:ascii="Arial" w:hAnsi="Arial" w:cs="Arial"/>
          <w:color w:val="000000"/>
          <w:sz w:val="20"/>
          <w:szCs w:val="20"/>
          <w:lang w:eastAsia="sl-SI"/>
        </w:rPr>
        <w:t>starosti</w:t>
      </w:r>
      <w:r w:rsidRPr="00FE1BAC">
        <w:rPr>
          <w:rFonts w:ascii="Arial" w:hAnsi="Arial" w:cs="Arial"/>
          <w:color w:val="000000"/>
          <w:sz w:val="20"/>
          <w:szCs w:val="20"/>
          <w:lang w:eastAsia="sl-SI"/>
        </w:rPr>
        <w:t xml:space="preserve"> 25–64 let,</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delež bruto domačih izdatkov za raziskovalno in razvojno dejavnost v bruto domačem proizvodu,</w:t>
      </w:r>
    </w:p>
    <w:p w:rsidR="00190A8F" w:rsidRPr="00FE1BAC" w:rsidRDefault="00190A8F" w:rsidP="00823C5C">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delež prečiščene odpadne vode z vsaj sekundarnim čiščenjem v izpuščeni odpadni vodi,</w:t>
      </w:r>
    </w:p>
    <w:p w:rsidR="00190A8F" w:rsidRPr="00FE1BAC" w:rsidRDefault="00190A8F" w:rsidP="009F4ED8">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delež površine zavarovanih območij v regiji,</w:t>
      </w:r>
    </w:p>
    <w:p w:rsidR="00190A8F" w:rsidRPr="00FE1BAC" w:rsidRDefault="00190A8F" w:rsidP="009F4ED8">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delež ocenjene škode zaradi elementarnih nesreč v bruto domačem proizvodu,</w:t>
      </w:r>
    </w:p>
    <w:p w:rsidR="00190A8F" w:rsidRPr="00FE1BAC" w:rsidRDefault="00190A8F" w:rsidP="00154424">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stopnja registrirane brezposelnosti, </w:t>
      </w:r>
    </w:p>
    <w:p w:rsidR="00190A8F" w:rsidRPr="00FE1BAC" w:rsidRDefault="00190A8F" w:rsidP="00154424">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indeks staranja prebivalstva, </w:t>
      </w:r>
    </w:p>
    <w:p w:rsidR="00190A8F" w:rsidRPr="00FE1BAC" w:rsidRDefault="00190A8F" w:rsidP="00154424">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skupni koeficient starostne odvisnosti in</w:t>
      </w:r>
    </w:p>
    <w:p w:rsidR="00190A8F" w:rsidRPr="00FE1BAC" w:rsidRDefault="00190A8F" w:rsidP="00154424">
      <w:pPr>
        <w:numPr>
          <w:ilvl w:val="0"/>
          <w:numId w:val="2"/>
        </w:numPr>
        <w:spacing w:after="0" w:line="240" w:lineRule="auto"/>
        <w:ind w:left="567" w:hanging="283"/>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razpoložljivi dohodek na prebivalca. </w:t>
      </w:r>
    </w:p>
    <w:p w:rsidR="00190A8F" w:rsidRPr="00FE1BAC" w:rsidRDefault="00190A8F" w:rsidP="00132FAB">
      <w:pPr>
        <w:spacing w:after="0" w:line="240" w:lineRule="auto"/>
        <w:jc w:val="both"/>
        <w:rPr>
          <w:rFonts w:ascii="Arial" w:hAnsi="Arial" w:cs="Arial"/>
          <w:color w:val="000000"/>
          <w:sz w:val="20"/>
          <w:szCs w:val="20"/>
          <w:lang w:eastAsia="sl-SI"/>
        </w:rPr>
      </w:pPr>
    </w:p>
    <w:p w:rsidR="00190A8F" w:rsidRPr="00FE1BAC" w:rsidRDefault="00190A8F" w:rsidP="000A174A">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(2) Indeks razvojne ogroženosti za regije NUTS 3 se izračuna kot aritmetična sredina standardiziranih vrednosti kazalnikov. Njihova inverzna vrednost se izrazi v </w:t>
      </w:r>
      <w:r w:rsidR="008B1664">
        <w:rPr>
          <w:rFonts w:ascii="Arial" w:hAnsi="Arial" w:cs="Arial"/>
          <w:color w:val="000000"/>
          <w:sz w:val="20"/>
          <w:szCs w:val="20"/>
          <w:lang w:eastAsia="sl-SI"/>
        </w:rPr>
        <w:t>indeksu ravni (Slovenija = 100), pri čemer v</w:t>
      </w:r>
      <w:r w:rsidRPr="00FE1BAC">
        <w:rPr>
          <w:rFonts w:ascii="Arial" w:hAnsi="Arial" w:cs="Arial"/>
          <w:color w:val="000000"/>
          <w:sz w:val="20"/>
          <w:szCs w:val="20"/>
          <w:lang w:eastAsia="sl-SI"/>
        </w:rPr>
        <w:t xml:space="preserve">ečja vrednost indeksa pomeni večjo razvojno ogroženost regije. Pri izračunu se upošteva triletno povprečje zadnjih razpoložljivih podatkov, razen pri kazalniku </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 xml:space="preserve">delež prebivalstva s terciarno izobrazbo </w:t>
      </w:r>
      <w:r>
        <w:rPr>
          <w:rFonts w:ascii="Arial" w:hAnsi="Arial" w:cs="Arial"/>
          <w:color w:val="000000"/>
          <w:sz w:val="20"/>
          <w:szCs w:val="20"/>
          <w:lang w:eastAsia="sl-SI"/>
        </w:rPr>
        <w:t>v starosti</w:t>
      </w:r>
      <w:r w:rsidRPr="00FE1BAC">
        <w:rPr>
          <w:rFonts w:ascii="Arial" w:hAnsi="Arial" w:cs="Arial"/>
          <w:color w:val="000000"/>
          <w:sz w:val="20"/>
          <w:szCs w:val="20"/>
          <w:lang w:eastAsia="sl-SI"/>
        </w:rPr>
        <w:t xml:space="preserve"> 25</w:t>
      </w:r>
      <w:r w:rsidRPr="00FE1BAC">
        <w:rPr>
          <w:rFonts w:ascii="Arial" w:hAnsi="Arial" w:cs="Arial"/>
          <w:color w:val="000000"/>
          <w:sz w:val="20"/>
          <w:szCs w:val="20"/>
        </w:rPr>
        <w:t>–</w:t>
      </w:r>
      <w:r w:rsidRPr="00FE1BAC">
        <w:rPr>
          <w:rFonts w:ascii="Arial" w:hAnsi="Arial" w:cs="Arial"/>
          <w:color w:val="000000"/>
          <w:sz w:val="20"/>
          <w:szCs w:val="20"/>
          <w:lang w:eastAsia="sl-SI"/>
        </w:rPr>
        <w:t>64 let</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 xml:space="preserve">, </w:t>
      </w:r>
      <w:r w:rsidR="00A70689">
        <w:rPr>
          <w:rFonts w:ascii="Arial" w:hAnsi="Arial" w:cs="Arial"/>
          <w:color w:val="000000"/>
          <w:sz w:val="20"/>
          <w:szCs w:val="20"/>
          <w:lang w:eastAsia="sl-SI"/>
        </w:rPr>
        <w:t>pri katerem</w:t>
      </w:r>
      <w:r w:rsidR="00A70689" w:rsidRPr="00FE1BAC">
        <w:rPr>
          <w:rFonts w:ascii="Arial" w:hAnsi="Arial" w:cs="Arial"/>
          <w:color w:val="000000"/>
          <w:sz w:val="20"/>
          <w:szCs w:val="20"/>
          <w:lang w:eastAsia="sl-SI"/>
        </w:rPr>
        <w:t xml:space="preserve"> </w:t>
      </w:r>
      <w:r w:rsidRPr="00FE1BAC">
        <w:rPr>
          <w:rFonts w:ascii="Arial" w:hAnsi="Arial" w:cs="Arial"/>
          <w:color w:val="000000"/>
          <w:sz w:val="20"/>
          <w:szCs w:val="20"/>
          <w:lang w:eastAsia="sl-SI"/>
        </w:rPr>
        <w:t xml:space="preserve">so podatki razpoložljivi le za leti </w:t>
      </w:r>
      <w:smartTag w:uri="urn:schemas-microsoft-com:office:smarttags" w:element="metricconverter">
        <w:smartTagPr>
          <w:attr w:name="ProductID" w:val="2011 in"/>
        </w:smartTagPr>
        <w:r w:rsidRPr="00FE1BAC">
          <w:rPr>
            <w:rFonts w:ascii="Arial" w:hAnsi="Arial" w:cs="Arial"/>
            <w:color w:val="000000"/>
            <w:sz w:val="20"/>
            <w:szCs w:val="20"/>
            <w:lang w:eastAsia="sl-SI"/>
          </w:rPr>
          <w:t>2011 in</w:t>
        </w:r>
      </w:smartTag>
      <w:r w:rsidRPr="00FE1BAC">
        <w:rPr>
          <w:rFonts w:ascii="Arial" w:hAnsi="Arial" w:cs="Arial"/>
          <w:color w:val="000000"/>
          <w:sz w:val="20"/>
          <w:szCs w:val="20"/>
          <w:lang w:eastAsia="sl-SI"/>
        </w:rPr>
        <w:t xml:space="preserve"> 2012, ter pri kazalnikih </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delež prečiščene odpadne vode z vsaj sekundarnim čiščenjem v izpuščeni odpadni vodi</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 xml:space="preserve"> in </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delež površine zavarovanih območij v regiji</w:t>
      </w:r>
      <w:r w:rsidR="00A70689">
        <w:rPr>
          <w:rFonts w:ascii="Arial" w:hAnsi="Arial" w:cs="Arial"/>
          <w:color w:val="000000"/>
          <w:sz w:val="20"/>
          <w:szCs w:val="20"/>
          <w:lang w:eastAsia="sl-SI"/>
        </w:rPr>
        <w:t>«</w:t>
      </w:r>
      <w:r w:rsidRPr="00FE1BAC">
        <w:rPr>
          <w:rFonts w:ascii="Arial" w:hAnsi="Arial" w:cs="Arial"/>
          <w:color w:val="000000"/>
          <w:sz w:val="20"/>
          <w:szCs w:val="20"/>
          <w:lang w:eastAsia="sl-SI"/>
        </w:rPr>
        <w:t xml:space="preserve">, </w:t>
      </w:r>
      <w:r w:rsidR="00A70689">
        <w:rPr>
          <w:rFonts w:ascii="Arial" w:hAnsi="Arial" w:cs="Arial"/>
          <w:color w:val="000000"/>
          <w:sz w:val="20"/>
          <w:szCs w:val="20"/>
          <w:lang w:eastAsia="sl-SI"/>
        </w:rPr>
        <w:t>pri katerih</w:t>
      </w:r>
      <w:r w:rsidR="00A70689" w:rsidRPr="00FE1BAC">
        <w:rPr>
          <w:rFonts w:ascii="Arial" w:hAnsi="Arial" w:cs="Arial"/>
          <w:color w:val="000000"/>
          <w:sz w:val="20"/>
          <w:szCs w:val="20"/>
          <w:lang w:eastAsia="sl-SI"/>
        </w:rPr>
        <w:t xml:space="preserve"> </w:t>
      </w:r>
      <w:r w:rsidRPr="00FE1BAC">
        <w:rPr>
          <w:rFonts w:ascii="Arial" w:hAnsi="Arial" w:cs="Arial"/>
          <w:color w:val="000000"/>
          <w:sz w:val="20"/>
          <w:szCs w:val="20"/>
          <w:lang w:eastAsia="sl-SI"/>
        </w:rPr>
        <w:t xml:space="preserve">se upoštevajo podatki za zadnje razpoložljivo leto. Vsi kazalniki </w:t>
      </w:r>
      <w:r w:rsidR="00C777FB">
        <w:rPr>
          <w:rFonts w:ascii="Arial" w:hAnsi="Arial" w:cs="Arial"/>
          <w:color w:val="000000"/>
          <w:sz w:val="20"/>
          <w:szCs w:val="20"/>
          <w:lang w:eastAsia="sl-SI"/>
        </w:rPr>
        <w:t>morajo biti pri tem</w:t>
      </w:r>
      <w:r w:rsidRPr="00FE1BAC">
        <w:rPr>
          <w:rFonts w:ascii="Arial" w:hAnsi="Arial" w:cs="Arial"/>
          <w:color w:val="000000"/>
          <w:sz w:val="20"/>
          <w:szCs w:val="20"/>
          <w:lang w:eastAsia="sl-SI"/>
        </w:rPr>
        <w:t xml:space="preserve"> enako uteženi.</w:t>
      </w:r>
    </w:p>
    <w:p w:rsidR="004B4179" w:rsidRDefault="004B4179" w:rsidP="00625DC1">
      <w:pPr>
        <w:spacing w:after="210" w:line="240" w:lineRule="auto"/>
        <w:jc w:val="both"/>
        <w:rPr>
          <w:rFonts w:ascii="Arial" w:hAnsi="Arial" w:cs="Arial"/>
          <w:color w:val="000000"/>
          <w:sz w:val="20"/>
          <w:szCs w:val="20"/>
          <w:lang w:eastAsia="sl-SI"/>
        </w:rPr>
      </w:pPr>
    </w:p>
    <w:p w:rsidR="00547D8F" w:rsidRDefault="00547D8F" w:rsidP="00625DC1">
      <w:pPr>
        <w:spacing w:after="210" w:line="240" w:lineRule="auto"/>
        <w:jc w:val="both"/>
        <w:rPr>
          <w:rFonts w:ascii="Arial" w:hAnsi="Arial" w:cs="Arial"/>
          <w:color w:val="000000"/>
          <w:sz w:val="20"/>
          <w:szCs w:val="20"/>
          <w:lang w:eastAsia="sl-SI"/>
        </w:rPr>
      </w:pPr>
    </w:p>
    <w:p w:rsidR="00547D8F" w:rsidRDefault="00547D8F" w:rsidP="00625DC1">
      <w:pPr>
        <w:spacing w:after="210" w:line="240" w:lineRule="auto"/>
        <w:jc w:val="both"/>
        <w:rPr>
          <w:rFonts w:ascii="Arial" w:hAnsi="Arial" w:cs="Arial"/>
          <w:color w:val="000000"/>
          <w:sz w:val="20"/>
          <w:szCs w:val="20"/>
          <w:lang w:eastAsia="sl-SI"/>
        </w:rPr>
      </w:pPr>
    </w:p>
    <w:p w:rsidR="00547D8F" w:rsidRPr="00FE1BAC" w:rsidRDefault="00547D8F" w:rsidP="00625DC1">
      <w:pPr>
        <w:spacing w:after="210" w:line="240" w:lineRule="auto"/>
        <w:jc w:val="both"/>
        <w:rPr>
          <w:rFonts w:ascii="Arial" w:hAnsi="Arial" w:cs="Arial"/>
          <w:color w:val="000000"/>
          <w:sz w:val="20"/>
          <w:szCs w:val="20"/>
          <w:lang w:eastAsia="sl-SI"/>
        </w:rPr>
      </w:pPr>
    </w:p>
    <w:p w:rsidR="00190A8F" w:rsidRPr="00FE1BAC" w:rsidRDefault="00190A8F" w:rsidP="00132FAB">
      <w:pPr>
        <w:spacing w:after="210" w:line="240" w:lineRule="auto"/>
        <w:jc w:val="center"/>
        <w:rPr>
          <w:rFonts w:ascii="Arial" w:hAnsi="Arial" w:cs="Arial"/>
          <w:b/>
          <w:bCs/>
          <w:color w:val="000000"/>
          <w:sz w:val="20"/>
          <w:szCs w:val="20"/>
          <w:lang w:eastAsia="sl-SI"/>
        </w:rPr>
      </w:pPr>
      <w:r w:rsidRPr="00FE1BAC">
        <w:rPr>
          <w:rFonts w:ascii="Arial" w:hAnsi="Arial" w:cs="Arial"/>
          <w:b/>
          <w:bCs/>
          <w:color w:val="000000"/>
          <w:sz w:val="20"/>
          <w:szCs w:val="20"/>
          <w:lang w:eastAsia="sl-SI"/>
        </w:rPr>
        <w:lastRenderedPageBreak/>
        <w:t>3. člen</w:t>
      </w:r>
    </w:p>
    <w:p w:rsidR="00190A8F" w:rsidRPr="00FE1BAC" w:rsidRDefault="00190A8F" w:rsidP="00132FAB">
      <w:pPr>
        <w:spacing w:after="210" w:line="240" w:lineRule="auto"/>
        <w:jc w:val="center"/>
        <w:rPr>
          <w:rFonts w:ascii="Arial" w:hAnsi="Arial" w:cs="Arial"/>
          <w:b/>
          <w:bCs/>
          <w:color w:val="000000"/>
          <w:sz w:val="20"/>
          <w:szCs w:val="20"/>
          <w:lang w:eastAsia="sl-SI"/>
        </w:rPr>
      </w:pPr>
      <w:r w:rsidRPr="00FE1BAC">
        <w:rPr>
          <w:rFonts w:ascii="Arial" w:hAnsi="Arial" w:cs="Arial"/>
          <w:b/>
          <w:bCs/>
          <w:color w:val="000000"/>
          <w:sz w:val="20"/>
          <w:szCs w:val="20"/>
          <w:lang w:eastAsia="sl-SI"/>
        </w:rPr>
        <w:t>(razvrstitev regij NUTS 3)</w:t>
      </w:r>
    </w:p>
    <w:p w:rsidR="00190A8F" w:rsidRPr="00FE1BAC" w:rsidRDefault="00A70689" w:rsidP="00C777FB">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Regije NUTS 3 v Republiki Sloveniji se v programskem obdobju 2014–2020, upoštevaje</w:t>
      </w:r>
      <w:r w:rsidR="00190A8F" w:rsidRPr="00FE1BAC">
        <w:rPr>
          <w:rFonts w:ascii="Arial" w:hAnsi="Arial" w:cs="Arial"/>
          <w:color w:val="000000"/>
          <w:sz w:val="20"/>
          <w:szCs w:val="20"/>
          <w:lang w:eastAsia="sl-SI"/>
        </w:rPr>
        <w:t xml:space="preserve"> indeks razvojne ogroženosti</w:t>
      </w:r>
      <w:r>
        <w:rPr>
          <w:rFonts w:ascii="Arial" w:hAnsi="Arial" w:cs="Arial"/>
          <w:color w:val="000000"/>
          <w:sz w:val="20"/>
          <w:szCs w:val="20"/>
          <w:lang w:eastAsia="sl-SI"/>
        </w:rPr>
        <w:t>,</w:t>
      </w:r>
      <w:r w:rsidR="00190A8F" w:rsidRPr="00FE1BAC">
        <w:rPr>
          <w:rFonts w:ascii="Arial" w:hAnsi="Arial" w:cs="Arial"/>
          <w:color w:val="000000"/>
          <w:sz w:val="20"/>
          <w:szCs w:val="20"/>
          <w:lang w:eastAsia="sl-SI"/>
        </w:rPr>
        <w:t xml:space="preserve"> razvrščajo po stopnji svoje razvitosti</w:t>
      </w:r>
      <w:r>
        <w:rPr>
          <w:rFonts w:ascii="Arial" w:hAnsi="Arial" w:cs="Arial"/>
          <w:color w:val="000000"/>
          <w:sz w:val="20"/>
          <w:szCs w:val="20"/>
          <w:lang w:eastAsia="sl-SI"/>
        </w:rPr>
        <w:t>, kot sledi</w:t>
      </w:r>
      <w:r w:rsidR="00190A8F" w:rsidRPr="00FE1BAC">
        <w:rPr>
          <w:rFonts w:ascii="Arial" w:hAnsi="Arial" w:cs="Arial"/>
          <w:color w:val="000000"/>
          <w:sz w:val="20"/>
          <w:szCs w:val="20"/>
          <w:lang w:eastAsia="sl-SI"/>
        </w:rPr>
        <w:t>:</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Osrednjeslovenska (39,6),</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Obalno-kraška (66,1),</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Jugovzhodna Slovenija (66,1),</w:t>
      </w:r>
    </w:p>
    <w:p w:rsidR="00190A8F" w:rsidRPr="00FE1BAC" w:rsidRDefault="00190A8F" w:rsidP="00C14CAF">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Gorenjska (76,8),</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Savinjska (101,5),</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Spodnjeposavska (101,8),</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Notranjsko-kraška (103,5),</w:t>
      </w:r>
    </w:p>
    <w:p w:rsidR="00190A8F" w:rsidRPr="00FE1BAC" w:rsidRDefault="00190A8F" w:rsidP="00C14CAF">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Goriška (106,6),</w:t>
      </w:r>
    </w:p>
    <w:p w:rsidR="00190A8F" w:rsidRPr="00FE1BAC" w:rsidRDefault="00190A8F" w:rsidP="00C14CAF">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Koroška (115,0),</w:t>
      </w:r>
    </w:p>
    <w:p w:rsidR="00190A8F" w:rsidRPr="00FE1BAC" w:rsidRDefault="00190A8F" w:rsidP="00C14CAF">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Podravska (116,2),</w:t>
      </w:r>
    </w:p>
    <w:p w:rsidR="00190A8F" w:rsidRPr="00FE1BAC" w:rsidRDefault="00190A8F" w:rsidP="00C9331A">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Zasavska (138,6) in</w:t>
      </w:r>
    </w:p>
    <w:p w:rsidR="00190A8F" w:rsidRPr="00FE1BAC" w:rsidRDefault="00190A8F" w:rsidP="00C14CAF">
      <w:pPr>
        <w:numPr>
          <w:ilvl w:val="0"/>
          <w:numId w:val="7"/>
        </w:numPr>
        <w:spacing w:after="0" w:line="240" w:lineRule="auto"/>
        <w:ind w:left="851" w:hanging="284"/>
        <w:jc w:val="both"/>
        <w:rPr>
          <w:rFonts w:ascii="Arial" w:hAnsi="Arial" w:cs="Arial"/>
          <w:color w:val="000000"/>
          <w:sz w:val="20"/>
          <w:szCs w:val="20"/>
          <w:lang w:eastAsia="sl-SI"/>
        </w:rPr>
      </w:pPr>
      <w:r w:rsidRPr="00FE1BAC">
        <w:rPr>
          <w:rFonts w:ascii="Arial" w:hAnsi="Arial" w:cs="Arial"/>
          <w:color w:val="000000"/>
          <w:sz w:val="20"/>
          <w:szCs w:val="20"/>
          <w:lang w:eastAsia="sl-SI"/>
        </w:rPr>
        <w:t>Pomurska (167,9).</w:t>
      </w:r>
    </w:p>
    <w:p w:rsidR="00190A8F" w:rsidRPr="00FE1BAC" w:rsidRDefault="00190A8F" w:rsidP="00C14CAF">
      <w:pPr>
        <w:spacing w:after="0" w:line="240" w:lineRule="auto"/>
        <w:jc w:val="both"/>
        <w:rPr>
          <w:rFonts w:ascii="Arial" w:hAnsi="Arial" w:cs="Arial"/>
          <w:b/>
          <w:bCs/>
          <w:color w:val="000000"/>
          <w:sz w:val="20"/>
          <w:szCs w:val="20"/>
          <w:lang w:eastAsia="sl-SI"/>
        </w:rPr>
      </w:pPr>
    </w:p>
    <w:p w:rsidR="00190A8F" w:rsidRPr="00FE1BAC" w:rsidRDefault="00190A8F" w:rsidP="00C14CAF">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  </w:t>
      </w:r>
    </w:p>
    <w:p w:rsidR="00190A8F" w:rsidRPr="00FE1BAC" w:rsidRDefault="00190A8F" w:rsidP="00132FAB">
      <w:pPr>
        <w:spacing w:after="0" w:line="240" w:lineRule="auto"/>
        <w:jc w:val="center"/>
        <w:rPr>
          <w:rFonts w:ascii="Arial" w:hAnsi="Arial" w:cs="Arial"/>
          <w:b/>
          <w:bCs/>
          <w:color w:val="000000"/>
          <w:sz w:val="20"/>
          <w:szCs w:val="20"/>
          <w:lang w:eastAsia="sl-SI"/>
        </w:rPr>
      </w:pPr>
      <w:r w:rsidRPr="00FE1BAC">
        <w:rPr>
          <w:rFonts w:ascii="Arial" w:hAnsi="Arial" w:cs="Arial"/>
          <w:b/>
          <w:bCs/>
          <w:color w:val="000000"/>
          <w:sz w:val="20"/>
          <w:szCs w:val="20"/>
          <w:lang w:eastAsia="sl-SI"/>
        </w:rPr>
        <w:t>4. člen</w:t>
      </w:r>
    </w:p>
    <w:p w:rsidR="00190A8F" w:rsidRPr="00FE1BAC" w:rsidRDefault="00381AB3" w:rsidP="00132FAB">
      <w:pPr>
        <w:spacing w:after="0" w:line="240" w:lineRule="auto"/>
        <w:jc w:val="center"/>
        <w:rPr>
          <w:rFonts w:ascii="Arial" w:hAnsi="Arial" w:cs="Arial"/>
          <w:b/>
          <w:bCs/>
          <w:color w:val="000000"/>
          <w:sz w:val="20"/>
          <w:szCs w:val="20"/>
          <w:lang w:eastAsia="sl-SI"/>
        </w:rPr>
      </w:pPr>
      <w:r>
        <w:rPr>
          <w:rFonts w:ascii="Arial" w:hAnsi="Arial" w:cs="Arial"/>
          <w:b/>
          <w:bCs/>
          <w:color w:val="000000"/>
          <w:sz w:val="20"/>
          <w:szCs w:val="20"/>
          <w:lang w:eastAsia="sl-SI"/>
        </w:rPr>
        <w:t>(končni določbi</w:t>
      </w:r>
      <w:r w:rsidR="00190A8F" w:rsidRPr="00FE1BAC">
        <w:rPr>
          <w:rFonts w:ascii="Arial" w:hAnsi="Arial" w:cs="Arial"/>
          <w:b/>
          <w:bCs/>
          <w:color w:val="000000"/>
          <w:sz w:val="20"/>
          <w:szCs w:val="20"/>
          <w:lang w:eastAsia="sl-SI"/>
        </w:rPr>
        <w:t>)</w:t>
      </w:r>
    </w:p>
    <w:p w:rsidR="00190A8F" w:rsidRPr="00FE1BAC" w:rsidRDefault="00190A8F" w:rsidP="00132FAB">
      <w:pPr>
        <w:spacing w:after="0" w:line="240" w:lineRule="auto"/>
        <w:jc w:val="center"/>
        <w:rPr>
          <w:rFonts w:ascii="Arial" w:hAnsi="Arial" w:cs="Arial"/>
          <w:b/>
          <w:bCs/>
          <w:color w:val="000000"/>
          <w:sz w:val="20"/>
          <w:szCs w:val="20"/>
          <w:lang w:eastAsia="sl-SI"/>
        </w:rPr>
      </w:pPr>
    </w:p>
    <w:p w:rsidR="00381AB3" w:rsidRDefault="00381AB3" w:rsidP="00C14CAF">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(1) Z 31. decembrom 2013 preneha uporaba Sklepa o razvrstitvi razvojnih regij po stopnji razvitosti za programsko obdobje 2007–2013 (Uradni list RS, št. 23/06).</w:t>
      </w:r>
    </w:p>
    <w:p w:rsidR="00381AB3" w:rsidRDefault="00381AB3" w:rsidP="00C14CAF">
      <w:pPr>
        <w:spacing w:after="0" w:line="240" w:lineRule="auto"/>
        <w:jc w:val="both"/>
        <w:rPr>
          <w:rFonts w:ascii="Arial" w:hAnsi="Arial" w:cs="Arial"/>
          <w:color w:val="000000"/>
          <w:sz w:val="20"/>
          <w:szCs w:val="20"/>
          <w:lang w:eastAsia="sl-SI"/>
        </w:rPr>
      </w:pPr>
    </w:p>
    <w:p w:rsidR="00190A8F" w:rsidRPr="00FE1BAC" w:rsidRDefault="00381AB3" w:rsidP="00C14CAF">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(2) </w:t>
      </w:r>
      <w:r w:rsidR="00190A8F" w:rsidRPr="00FE1BAC">
        <w:rPr>
          <w:rFonts w:ascii="Arial" w:hAnsi="Arial" w:cs="Arial"/>
          <w:color w:val="000000"/>
          <w:sz w:val="20"/>
          <w:szCs w:val="20"/>
          <w:lang w:eastAsia="sl-SI"/>
        </w:rPr>
        <w:t>Ta pravilnik začne veljati naslednji dan po objavi v Ur</w:t>
      </w:r>
      <w:r w:rsidR="00C777FB">
        <w:rPr>
          <w:rFonts w:ascii="Arial" w:hAnsi="Arial" w:cs="Arial"/>
          <w:color w:val="000000"/>
          <w:sz w:val="20"/>
          <w:szCs w:val="20"/>
          <w:lang w:eastAsia="sl-SI"/>
        </w:rPr>
        <w:t>adnem listu Republike Slovenije</w:t>
      </w:r>
      <w:r w:rsidR="00A70689">
        <w:rPr>
          <w:rFonts w:ascii="Arial" w:hAnsi="Arial" w:cs="Arial"/>
          <w:color w:val="000000"/>
          <w:sz w:val="20"/>
          <w:szCs w:val="20"/>
          <w:lang w:eastAsia="sl-SI"/>
        </w:rPr>
        <w:t>, uporabljati pa se začne 1. januarja 2014</w:t>
      </w:r>
      <w:r w:rsidR="00190A8F" w:rsidRPr="00FE1BAC">
        <w:rPr>
          <w:rFonts w:ascii="Arial" w:hAnsi="Arial" w:cs="Arial"/>
          <w:color w:val="000000"/>
          <w:sz w:val="20"/>
          <w:szCs w:val="20"/>
          <w:lang w:eastAsia="sl-SI"/>
        </w:rPr>
        <w:t>.</w:t>
      </w:r>
    </w:p>
    <w:p w:rsidR="00190A8F" w:rsidRPr="00FE1BAC" w:rsidRDefault="00190A8F" w:rsidP="00132FAB">
      <w:pPr>
        <w:spacing w:after="0" w:line="240" w:lineRule="auto"/>
        <w:ind w:firstLine="240"/>
        <w:jc w:val="both"/>
        <w:rPr>
          <w:rFonts w:ascii="Arial" w:hAnsi="Arial" w:cs="Arial"/>
          <w:color w:val="000000"/>
          <w:sz w:val="20"/>
          <w:szCs w:val="20"/>
          <w:lang w:eastAsia="sl-SI"/>
        </w:rPr>
      </w:pPr>
    </w:p>
    <w:p w:rsidR="00190A8F" w:rsidRPr="00FE1BAC" w:rsidRDefault="00190A8F" w:rsidP="00132FAB">
      <w:pPr>
        <w:spacing w:after="0" w:line="240" w:lineRule="auto"/>
        <w:ind w:firstLine="240"/>
        <w:jc w:val="both"/>
        <w:rPr>
          <w:rFonts w:ascii="Arial" w:hAnsi="Arial" w:cs="Arial"/>
          <w:color w:val="000000"/>
          <w:sz w:val="20"/>
          <w:szCs w:val="20"/>
          <w:lang w:eastAsia="sl-SI"/>
        </w:rPr>
      </w:pPr>
    </w:p>
    <w:p w:rsidR="00190A8F" w:rsidRPr="00FE1BAC" w:rsidRDefault="00190A8F" w:rsidP="00132FAB">
      <w:pPr>
        <w:spacing w:after="0" w:line="240" w:lineRule="auto"/>
        <w:ind w:firstLine="240"/>
        <w:jc w:val="both"/>
        <w:rPr>
          <w:rFonts w:ascii="Arial" w:hAnsi="Arial" w:cs="Arial"/>
          <w:color w:val="000000"/>
          <w:sz w:val="20"/>
          <w:szCs w:val="20"/>
          <w:lang w:eastAsia="sl-SI"/>
        </w:rPr>
      </w:pPr>
    </w:p>
    <w:p w:rsidR="00190A8F" w:rsidRPr="00FE1BAC" w:rsidRDefault="00190A8F" w:rsidP="00132FAB">
      <w:pPr>
        <w:spacing w:after="0" w:line="240" w:lineRule="auto"/>
        <w:ind w:firstLine="240"/>
        <w:jc w:val="both"/>
        <w:rPr>
          <w:rFonts w:ascii="Arial" w:hAnsi="Arial" w:cs="Arial"/>
          <w:color w:val="000000"/>
          <w:sz w:val="20"/>
          <w:szCs w:val="20"/>
          <w:lang w:eastAsia="sl-SI"/>
        </w:rPr>
      </w:pPr>
    </w:p>
    <w:p w:rsidR="00190A8F" w:rsidRPr="00FE1BAC" w:rsidRDefault="00190A8F" w:rsidP="00132FAB">
      <w:pPr>
        <w:spacing w:after="0" w:line="240" w:lineRule="auto"/>
        <w:ind w:firstLine="240"/>
        <w:jc w:val="both"/>
        <w:rPr>
          <w:rFonts w:ascii="Arial" w:hAnsi="Arial" w:cs="Arial"/>
          <w:color w:val="000000"/>
          <w:sz w:val="20"/>
          <w:szCs w:val="20"/>
          <w:lang w:eastAsia="sl-SI"/>
        </w:rPr>
      </w:pPr>
    </w:p>
    <w:tbl>
      <w:tblPr>
        <w:tblW w:w="0" w:type="auto"/>
        <w:tblLook w:val="00A0" w:firstRow="1" w:lastRow="0" w:firstColumn="1" w:lastColumn="0" w:noHBand="0" w:noVBand="0"/>
      </w:tblPr>
      <w:tblGrid>
        <w:gridCol w:w="4642"/>
        <w:gridCol w:w="4646"/>
      </w:tblGrid>
      <w:tr w:rsidR="00190A8F" w:rsidRPr="00FE1BAC" w:rsidTr="007A7E6F">
        <w:tc>
          <w:tcPr>
            <w:tcW w:w="4772" w:type="dxa"/>
          </w:tcPr>
          <w:p w:rsidR="00190A8F" w:rsidRPr="00FE1BAC" w:rsidRDefault="00190A8F" w:rsidP="00196200">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Št.: 007-36/2013/</w:t>
            </w:r>
          </w:p>
          <w:p w:rsidR="00190A8F" w:rsidRPr="00FE1BAC" w:rsidRDefault="00190A8F" w:rsidP="00C14CAF">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 xml:space="preserve">Ljubljana, </w:t>
            </w:r>
          </w:p>
          <w:p w:rsidR="00190A8F" w:rsidRPr="00FE1BAC" w:rsidRDefault="00190A8F" w:rsidP="00C14CAF">
            <w:pPr>
              <w:spacing w:after="0" w:line="240" w:lineRule="auto"/>
              <w:jc w:val="both"/>
              <w:rPr>
                <w:rFonts w:ascii="Arial" w:hAnsi="Arial" w:cs="Arial"/>
                <w:color w:val="000000"/>
                <w:sz w:val="20"/>
                <w:szCs w:val="20"/>
                <w:lang w:eastAsia="sl-SI"/>
              </w:rPr>
            </w:pPr>
            <w:r w:rsidRPr="00FE1BAC">
              <w:rPr>
                <w:rFonts w:ascii="Arial" w:hAnsi="Arial" w:cs="Arial"/>
                <w:color w:val="000000"/>
                <w:sz w:val="20"/>
                <w:szCs w:val="20"/>
                <w:lang w:eastAsia="sl-SI"/>
              </w:rPr>
              <w:t>EVA: 2012-2130-0013</w:t>
            </w:r>
          </w:p>
        </w:tc>
        <w:tc>
          <w:tcPr>
            <w:tcW w:w="4772" w:type="dxa"/>
          </w:tcPr>
          <w:p w:rsidR="00190A8F" w:rsidRPr="00FE1BAC" w:rsidRDefault="00190A8F" w:rsidP="007A7E6F">
            <w:pPr>
              <w:spacing w:after="0" w:line="240" w:lineRule="auto"/>
              <w:ind w:firstLine="240"/>
              <w:jc w:val="both"/>
              <w:rPr>
                <w:rFonts w:ascii="Arial" w:hAnsi="Arial" w:cs="Arial"/>
                <w:color w:val="000000"/>
                <w:sz w:val="20"/>
                <w:szCs w:val="20"/>
                <w:lang w:eastAsia="sl-SI"/>
              </w:rPr>
            </w:pPr>
          </w:p>
          <w:p w:rsidR="00190A8F" w:rsidRPr="00FE1BAC" w:rsidRDefault="00190A8F" w:rsidP="007A7E6F">
            <w:pPr>
              <w:spacing w:after="0" w:line="240" w:lineRule="auto"/>
              <w:ind w:firstLine="240"/>
              <w:jc w:val="both"/>
              <w:rPr>
                <w:rFonts w:ascii="Arial" w:hAnsi="Arial" w:cs="Arial"/>
                <w:color w:val="000000"/>
                <w:sz w:val="20"/>
                <w:szCs w:val="20"/>
                <w:lang w:eastAsia="sl-SI"/>
              </w:rPr>
            </w:pPr>
            <w:r w:rsidRPr="00FE1BAC">
              <w:rPr>
                <w:rFonts w:ascii="Arial" w:hAnsi="Arial" w:cs="Arial"/>
                <w:color w:val="000000"/>
                <w:sz w:val="20"/>
                <w:szCs w:val="20"/>
                <w:lang w:eastAsia="sl-SI"/>
              </w:rPr>
              <w:t>mag. Stanko Stepišnik</w:t>
            </w:r>
          </w:p>
          <w:p w:rsidR="00190A8F" w:rsidRPr="00FE1BAC" w:rsidRDefault="00190A8F" w:rsidP="007A7E6F">
            <w:pPr>
              <w:spacing w:after="0" w:line="240" w:lineRule="auto"/>
              <w:ind w:firstLine="240"/>
              <w:jc w:val="both"/>
              <w:rPr>
                <w:rFonts w:ascii="Arial" w:hAnsi="Arial" w:cs="Arial"/>
                <w:color w:val="000000"/>
                <w:sz w:val="20"/>
                <w:szCs w:val="20"/>
                <w:lang w:eastAsia="sl-SI"/>
              </w:rPr>
            </w:pPr>
            <w:r w:rsidRPr="00FE1BAC">
              <w:rPr>
                <w:rFonts w:ascii="Arial" w:hAnsi="Arial" w:cs="Arial"/>
                <w:color w:val="000000"/>
                <w:sz w:val="20"/>
                <w:szCs w:val="20"/>
                <w:lang w:eastAsia="sl-SI"/>
              </w:rPr>
              <w:t>MINISTER</w:t>
            </w:r>
          </w:p>
        </w:tc>
      </w:tr>
    </w:tbl>
    <w:p w:rsidR="00190A8F" w:rsidRPr="00FE1BAC" w:rsidRDefault="00190A8F" w:rsidP="00132FAB">
      <w:pPr>
        <w:spacing w:after="0" w:line="240" w:lineRule="auto"/>
        <w:rPr>
          <w:rFonts w:ascii="Arial" w:hAnsi="Arial" w:cs="Arial"/>
          <w:color w:val="000000"/>
          <w:sz w:val="20"/>
          <w:szCs w:val="20"/>
        </w:rPr>
      </w:pPr>
    </w:p>
    <w:p w:rsidR="00190A8F" w:rsidRPr="00FE1BAC" w:rsidRDefault="003654E6" w:rsidP="005951FE">
      <w:pPr>
        <w:keepLines/>
        <w:spacing w:after="0" w:line="240" w:lineRule="auto"/>
        <w:jc w:val="both"/>
        <w:rPr>
          <w:rFonts w:ascii="Arial" w:hAnsi="Arial" w:cs="Arial"/>
          <w:b/>
          <w:bCs/>
          <w:color w:val="000000"/>
          <w:sz w:val="20"/>
          <w:szCs w:val="20"/>
        </w:rPr>
      </w:pPr>
      <w:r>
        <w:rPr>
          <w:rFonts w:ascii="Arial" w:hAnsi="Arial" w:cs="Arial"/>
          <w:color w:val="000000"/>
          <w:sz w:val="20"/>
          <w:szCs w:val="20"/>
        </w:rPr>
        <w:t xml:space="preserve"> </w:t>
      </w:r>
      <w:r w:rsidR="00190A8F" w:rsidRPr="00FE1BAC">
        <w:rPr>
          <w:rFonts w:ascii="Arial" w:hAnsi="Arial" w:cs="Arial"/>
          <w:color w:val="000000"/>
          <w:sz w:val="20"/>
          <w:szCs w:val="20"/>
        </w:rPr>
        <w:br w:type="page"/>
      </w:r>
      <w:r w:rsidR="00190A8F" w:rsidRPr="00FE1BAC">
        <w:rPr>
          <w:rFonts w:ascii="Arial" w:hAnsi="Arial" w:cs="Arial"/>
          <w:b/>
          <w:bCs/>
          <w:color w:val="000000"/>
          <w:sz w:val="20"/>
          <w:szCs w:val="20"/>
        </w:rPr>
        <w:lastRenderedPageBreak/>
        <w:t>O B R A Z L O Ž I T E V</w:t>
      </w:r>
    </w:p>
    <w:p w:rsidR="00190A8F" w:rsidRPr="00FE1BAC" w:rsidRDefault="00190A8F" w:rsidP="005951FE">
      <w:pPr>
        <w:keepLines/>
        <w:spacing w:after="0" w:line="240" w:lineRule="auto"/>
        <w:jc w:val="both"/>
        <w:rPr>
          <w:rFonts w:ascii="Arial" w:hAnsi="Arial" w:cs="Arial"/>
          <w:b/>
          <w:bCs/>
          <w:color w:val="000000"/>
          <w:sz w:val="20"/>
          <w:szCs w:val="20"/>
        </w:rPr>
      </w:pPr>
    </w:p>
    <w:p w:rsidR="00190A8F" w:rsidRPr="00FE1BAC" w:rsidRDefault="00190A8F" w:rsidP="002D472C">
      <w:pPr>
        <w:pStyle w:val="Odstavekseznama"/>
        <w:keepLines/>
        <w:numPr>
          <w:ilvl w:val="0"/>
          <w:numId w:val="8"/>
        </w:numPr>
        <w:spacing w:after="0" w:line="240" w:lineRule="auto"/>
        <w:jc w:val="both"/>
        <w:rPr>
          <w:rFonts w:ascii="Arial" w:hAnsi="Arial" w:cs="Arial"/>
          <w:b/>
          <w:bCs/>
          <w:color w:val="000000"/>
          <w:sz w:val="20"/>
          <w:szCs w:val="20"/>
        </w:rPr>
      </w:pPr>
      <w:r w:rsidRPr="00FE1BAC">
        <w:rPr>
          <w:rFonts w:ascii="Arial" w:hAnsi="Arial" w:cs="Arial"/>
          <w:b/>
          <w:bCs/>
          <w:color w:val="000000"/>
          <w:sz w:val="20"/>
          <w:szCs w:val="20"/>
        </w:rPr>
        <w:t>Uvod</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Tretji odstavek 23. člena Zakona o spodbujanju skladnega regionalnega razvoja (Uradni list RS</w:t>
      </w:r>
      <w:r>
        <w:rPr>
          <w:rFonts w:ascii="Arial" w:hAnsi="Arial" w:cs="Arial"/>
          <w:color w:val="000000"/>
          <w:sz w:val="20"/>
          <w:szCs w:val="20"/>
        </w:rPr>
        <w:t>,</w:t>
      </w:r>
      <w:r w:rsidRPr="00FE1BAC">
        <w:rPr>
          <w:rFonts w:ascii="Arial" w:hAnsi="Arial" w:cs="Arial"/>
          <w:color w:val="000000"/>
          <w:sz w:val="20"/>
          <w:szCs w:val="20"/>
        </w:rPr>
        <w:t xml:space="preserve"> št. 20/11 in 57/12; v nadaljnjem besedilu: ZSRR-2) določa, da minister, pristojen za regionalni razvoj, izda pravilnik, s katerim določi za programsko obdobje seznam regij, razvrščenih po stopnji razvitosti. Pri tem razvrščanju se uporablja indeks njihove razvojne ogroženosti. Ta je opredeljen v 3. členu kot relativni kazalnik razvitosti razvojne regije, izračunan na podlagi utežitve kazalnikov razvitosti, ogroženosti in razvojnih možnosti. Za sedanje programsko obdobje 2007–2013 to vsebino ureja Sklep o razvrstitvi razvojnih regij po stopnji razvitosti za programsko obdobje 2007–2013 (Uradni list RS</w:t>
      </w:r>
      <w:r>
        <w:rPr>
          <w:rFonts w:ascii="Arial" w:hAnsi="Arial" w:cs="Arial"/>
          <w:color w:val="000000"/>
          <w:sz w:val="20"/>
          <w:szCs w:val="20"/>
        </w:rPr>
        <w:t>,</w:t>
      </w:r>
      <w:r w:rsidRPr="00FE1BAC">
        <w:rPr>
          <w:rFonts w:ascii="Arial" w:hAnsi="Arial" w:cs="Arial"/>
          <w:color w:val="000000"/>
          <w:sz w:val="20"/>
          <w:szCs w:val="20"/>
        </w:rPr>
        <w:t xml:space="preserve"> št. 23/06). </w:t>
      </w:r>
    </w:p>
    <w:p w:rsidR="00190A8F" w:rsidRPr="00FE1BAC" w:rsidRDefault="00190A8F" w:rsidP="005951FE">
      <w:pPr>
        <w:spacing w:after="0" w:line="240" w:lineRule="auto"/>
        <w:jc w:val="both"/>
        <w:rPr>
          <w:rFonts w:ascii="Arial" w:hAnsi="Arial" w:cs="Arial"/>
          <w:b/>
          <w:bCs/>
          <w:color w:val="000000"/>
          <w:sz w:val="20"/>
          <w:szCs w:val="20"/>
        </w:rPr>
      </w:pPr>
    </w:p>
    <w:p w:rsidR="00190A8F" w:rsidRPr="00FE1BAC" w:rsidRDefault="00190A8F" w:rsidP="002D472C">
      <w:pPr>
        <w:pStyle w:val="Odstavekseznama"/>
        <w:numPr>
          <w:ilvl w:val="0"/>
          <w:numId w:val="8"/>
        </w:numPr>
        <w:spacing w:after="0" w:line="240" w:lineRule="auto"/>
        <w:jc w:val="both"/>
        <w:rPr>
          <w:rFonts w:ascii="Arial" w:hAnsi="Arial" w:cs="Arial"/>
          <w:b/>
          <w:bCs/>
          <w:color w:val="000000"/>
          <w:sz w:val="20"/>
          <w:szCs w:val="20"/>
        </w:rPr>
      </w:pPr>
      <w:r w:rsidRPr="00FE1BAC">
        <w:rPr>
          <w:rFonts w:ascii="Arial" w:hAnsi="Arial" w:cs="Arial"/>
          <w:b/>
          <w:bCs/>
          <w:color w:val="000000"/>
          <w:sz w:val="20"/>
          <w:szCs w:val="20"/>
        </w:rPr>
        <w:t>Vsebina pravilnika</w:t>
      </w:r>
    </w:p>
    <w:p w:rsidR="00190A8F" w:rsidRPr="00FE1BAC" w:rsidRDefault="00190A8F" w:rsidP="005951FE">
      <w:pPr>
        <w:spacing w:after="0" w:line="240" w:lineRule="auto"/>
        <w:jc w:val="both"/>
        <w:rPr>
          <w:rFonts w:ascii="Arial" w:hAnsi="Arial" w:cs="Arial"/>
          <w:b/>
          <w:bCs/>
          <w:color w:val="000000"/>
          <w:sz w:val="20"/>
          <w:szCs w:val="20"/>
        </w:rPr>
      </w:pPr>
    </w:p>
    <w:p w:rsidR="00190A8F" w:rsidRPr="00FE1BAC" w:rsidRDefault="00190A8F" w:rsidP="005951FE">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 xml:space="preserve">Izbor kazalnikov </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V </w:t>
      </w:r>
      <w:r>
        <w:rPr>
          <w:rFonts w:ascii="Arial" w:hAnsi="Arial" w:cs="Arial"/>
          <w:color w:val="000000"/>
          <w:sz w:val="20"/>
          <w:szCs w:val="20"/>
        </w:rPr>
        <w:t>p</w:t>
      </w:r>
      <w:r w:rsidRPr="00FE1BAC">
        <w:rPr>
          <w:rFonts w:ascii="Arial" w:hAnsi="Arial" w:cs="Arial"/>
          <w:color w:val="000000"/>
          <w:sz w:val="20"/>
          <w:szCs w:val="20"/>
        </w:rPr>
        <w:t>reglednici 1 so našteti uporabljeni kazalniki z navedbo časovnih nizov podatkov, ki so bili uporabljeni pri izračunu.</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pStyle w:val="Telobesedila3"/>
        <w:spacing w:after="0"/>
        <w:rPr>
          <w:rFonts w:ascii="Arial" w:hAnsi="Arial" w:cs="Arial"/>
          <w:b/>
          <w:color w:val="000000"/>
          <w:sz w:val="20"/>
          <w:szCs w:val="20"/>
        </w:rPr>
      </w:pPr>
      <w:r w:rsidRPr="00FE1BAC">
        <w:rPr>
          <w:rFonts w:ascii="Arial" w:hAnsi="Arial" w:cs="Arial"/>
          <w:b/>
          <w:color w:val="000000"/>
          <w:sz w:val="20"/>
          <w:szCs w:val="20"/>
        </w:rPr>
        <w:t>Preglednica 1: Kazalniki za izračun indeksa razvojne ogroženosti</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179"/>
      </w:tblGrid>
      <w:tr w:rsidR="00190A8F" w:rsidRPr="00FE1BAC" w:rsidTr="00CC05B2">
        <w:trPr>
          <w:cantSplit/>
        </w:trPr>
        <w:tc>
          <w:tcPr>
            <w:tcW w:w="9179" w:type="dxa"/>
          </w:tcPr>
          <w:p w:rsidR="00190A8F" w:rsidRPr="00FE1BAC" w:rsidRDefault="00190A8F" w:rsidP="001957CE">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bruto domači proizvod na prebivalca (2009–2011)</w:t>
            </w:r>
          </w:p>
        </w:tc>
      </w:tr>
      <w:tr w:rsidR="00190A8F" w:rsidRPr="00FE1BAC" w:rsidTr="00CC05B2">
        <w:trPr>
          <w:cantSplit/>
        </w:trPr>
        <w:tc>
          <w:tcPr>
            <w:tcW w:w="9179" w:type="dxa"/>
          </w:tcPr>
          <w:p w:rsidR="00190A8F" w:rsidRPr="00FE1BAC" w:rsidRDefault="00190A8F" w:rsidP="001957CE">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bruto dodana vrednost na zaposlenega (2009–2011)</w:t>
            </w:r>
          </w:p>
        </w:tc>
      </w:tr>
      <w:tr w:rsidR="00190A8F" w:rsidRPr="00FE1BAC" w:rsidTr="00CC05B2">
        <w:trPr>
          <w:cantSplit/>
        </w:trPr>
        <w:tc>
          <w:tcPr>
            <w:tcW w:w="9179" w:type="dxa"/>
          </w:tcPr>
          <w:p w:rsidR="00190A8F" w:rsidRPr="00FE1BAC" w:rsidRDefault="00190A8F" w:rsidP="00E742B4">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delež bruto investicij v nova osnovna sredstva v bruto domačem proizvodu (2009</w:t>
            </w:r>
            <w:r>
              <w:rPr>
                <w:rFonts w:ascii="Arial" w:hAnsi="Arial" w:cs="Arial"/>
                <w:color w:val="000000"/>
                <w:sz w:val="20"/>
                <w:szCs w:val="20"/>
              </w:rPr>
              <w:t>–</w:t>
            </w:r>
            <w:r w:rsidRPr="00FE1BAC">
              <w:rPr>
                <w:rFonts w:ascii="Arial" w:hAnsi="Arial" w:cs="Arial"/>
                <w:color w:val="000000"/>
                <w:sz w:val="20"/>
                <w:szCs w:val="20"/>
              </w:rPr>
              <w:t>2011)</w:t>
            </w:r>
          </w:p>
        </w:tc>
      </w:tr>
      <w:tr w:rsidR="00190A8F" w:rsidRPr="00FE1BAC" w:rsidTr="00CC05B2">
        <w:trPr>
          <w:cantSplit/>
        </w:trPr>
        <w:tc>
          <w:tcPr>
            <w:tcW w:w="9179" w:type="dxa"/>
          </w:tcPr>
          <w:p w:rsidR="00190A8F" w:rsidRPr="00FE1BAC" w:rsidRDefault="00190A8F" w:rsidP="001F560F">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stopnja registrirane brezposelnosti mladih v starosti 15–29 let (2010–2012)</w:t>
            </w:r>
          </w:p>
        </w:tc>
      </w:tr>
      <w:tr w:rsidR="00190A8F" w:rsidRPr="00FE1BAC" w:rsidTr="00CC05B2">
        <w:trPr>
          <w:cantSplit/>
        </w:trPr>
        <w:tc>
          <w:tcPr>
            <w:tcW w:w="9179" w:type="dxa"/>
          </w:tcPr>
          <w:p w:rsidR="00190A8F" w:rsidRPr="00FE1BAC" w:rsidRDefault="00190A8F" w:rsidP="005951FE">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stopnja delovne aktivnosti v starosti 20–64 let (2010–2012)</w:t>
            </w:r>
          </w:p>
        </w:tc>
      </w:tr>
      <w:tr w:rsidR="00190A8F" w:rsidRPr="00FE1BAC" w:rsidTr="00CC05B2">
        <w:tc>
          <w:tcPr>
            <w:tcW w:w="9179" w:type="dxa"/>
          </w:tcPr>
          <w:p w:rsidR="00190A8F" w:rsidRPr="00FE1BAC" w:rsidRDefault="00190A8F" w:rsidP="00E51F6C">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 xml:space="preserve">delež prebivalstva s terciarno izobrazbo v </w:t>
            </w:r>
            <w:r>
              <w:rPr>
                <w:rFonts w:ascii="Arial" w:hAnsi="Arial" w:cs="Arial"/>
                <w:color w:val="000000"/>
                <w:sz w:val="20"/>
                <w:szCs w:val="20"/>
              </w:rPr>
              <w:t>starosti</w:t>
            </w:r>
            <w:r w:rsidRPr="00FE1BAC">
              <w:rPr>
                <w:rFonts w:ascii="Arial" w:hAnsi="Arial" w:cs="Arial"/>
                <w:color w:val="000000"/>
                <w:sz w:val="20"/>
                <w:szCs w:val="20"/>
              </w:rPr>
              <w:t xml:space="preserve"> 25–64 let (2011–2012)</w:t>
            </w:r>
          </w:p>
        </w:tc>
      </w:tr>
      <w:tr w:rsidR="00190A8F" w:rsidRPr="00FE1BAC" w:rsidTr="00CC05B2">
        <w:tc>
          <w:tcPr>
            <w:tcW w:w="9179" w:type="dxa"/>
          </w:tcPr>
          <w:p w:rsidR="00190A8F" w:rsidRPr="00FE1BAC" w:rsidRDefault="00190A8F" w:rsidP="00970E6E">
            <w:pPr>
              <w:numPr>
                <w:ilvl w:val="0"/>
                <w:numId w:val="6"/>
              </w:numPr>
              <w:spacing w:after="0" w:line="240" w:lineRule="auto"/>
              <w:jc w:val="both"/>
              <w:rPr>
                <w:rFonts w:ascii="Arial" w:hAnsi="Arial" w:cs="Arial"/>
                <w:color w:val="000000"/>
                <w:sz w:val="20"/>
                <w:szCs w:val="20"/>
              </w:rPr>
            </w:pPr>
            <w:r w:rsidRPr="00FE1BAC">
              <w:rPr>
                <w:rFonts w:ascii="Arial" w:hAnsi="Arial" w:cs="Arial"/>
                <w:color w:val="000000"/>
                <w:sz w:val="20"/>
                <w:szCs w:val="20"/>
              </w:rPr>
              <w:t>delež bruto domačih izdatkov za raziskovalno in razvojno dejavnost v bruto domačem proizvodu (2009–2011)</w:t>
            </w:r>
          </w:p>
        </w:tc>
      </w:tr>
      <w:tr w:rsidR="00190A8F" w:rsidRPr="00FE1BAC" w:rsidTr="00CC05B2">
        <w:tc>
          <w:tcPr>
            <w:tcW w:w="9179" w:type="dxa"/>
          </w:tcPr>
          <w:p w:rsidR="00190A8F" w:rsidRPr="00FE1BAC" w:rsidRDefault="00190A8F" w:rsidP="000E0B1C">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prečiščene odpadne vode z vsaj sekundarnim čiščenjem v izpuščeni odpadni vodi</w:t>
            </w:r>
            <w:r w:rsidRPr="00FE1BAC">
              <w:rPr>
                <w:rFonts w:ascii="Arial" w:hAnsi="Arial" w:cs="Arial"/>
                <w:color w:val="000000"/>
                <w:sz w:val="20"/>
                <w:szCs w:val="20"/>
              </w:rPr>
              <w:t xml:space="preserve"> (2012)</w:t>
            </w:r>
          </w:p>
        </w:tc>
      </w:tr>
      <w:tr w:rsidR="00190A8F" w:rsidRPr="00FE1BAC" w:rsidTr="00CC05B2">
        <w:tc>
          <w:tcPr>
            <w:tcW w:w="9179" w:type="dxa"/>
          </w:tcPr>
          <w:p w:rsidR="00190A8F" w:rsidRPr="00FE1BAC" w:rsidRDefault="00190A8F" w:rsidP="000E0B1C">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površine zavarovanih območij v regiji</w:t>
            </w:r>
            <w:r w:rsidRPr="00FE1BAC">
              <w:rPr>
                <w:rFonts w:ascii="Arial" w:hAnsi="Arial" w:cs="Arial"/>
                <w:color w:val="000000"/>
                <w:sz w:val="20"/>
                <w:szCs w:val="20"/>
              </w:rPr>
              <w:t xml:space="preserve"> (2013)</w:t>
            </w:r>
          </w:p>
        </w:tc>
      </w:tr>
      <w:tr w:rsidR="00190A8F" w:rsidRPr="00FE1BAC" w:rsidTr="00CC05B2">
        <w:tc>
          <w:tcPr>
            <w:tcW w:w="9179" w:type="dxa"/>
          </w:tcPr>
          <w:p w:rsidR="00190A8F" w:rsidRPr="00FE1BAC" w:rsidRDefault="00190A8F" w:rsidP="00FA7B5C">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ocenjene škode zaradi elementarnih nesreč v bruto domačem proizvodu (2009–2011)</w:t>
            </w:r>
          </w:p>
        </w:tc>
      </w:tr>
      <w:tr w:rsidR="00190A8F" w:rsidRPr="00FE1BAC" w:rsidTr="00CC05B2">
        <w:tc>
          <w:tcPr>
            <w:tcW w:w="9179" w:type="dxa"/>
          </w:tcPr>
          <w:p w:rsidR="00190A8F" w:rsidRPr="00FE1BAC" w:rsidRDefault="00190A8F" w:rsidP="00A47364">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stopnja registrirane brezposelnosti (2010–2012)</w:t>
            </w:r>
          </w:p>
        </w:tc>
      </w:tr>
      <w:tr w:rsidR="00190A8F" w:rsidRPr="00FE1BAC" w:rsidTr="00CC05B2">
        <w:tc>
          <w:tcPr>
            <w:tcW w:w="9179" w:type="dxa"/>
          </w:tcPr>
          <w:p w:rsidR="00190A8F" w:rsidRPr="00FE1BAC" w:rsidRDefault="00190A8F" w:rsidP="00E742B4">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indeks staranja prebivalstva (2011–2013)</w:t>
            </w:r>
          </w:p>
        </w:tc>
      </w:tr>
      <w:tr w:rsidR="00190A8F" w:rsidRPr="00FE1BAC" w:rsidTr="00CC05B2">
        <w:tc>
          <w:tcPr>
            <w:tcW w:w="9179" w:type="dxa"/>
          </w:tcPr>
          <w:p w:rsidR="00190A8F" w:rsidRPr="00FE1BAC" w:rsidRDefault="00190A8F" w:rsidP="00A47364">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skupni koeficient starostne odvisnosti (</w:t>
            </w:r>
            <w:r w:rsidRPr="00FE1BAC">
              <w:rPr>
                <w:rFonts w:ascii="Arial" w:hAnsi="Arial" w:cs="Arial"/>
                <w:color w:val="000000"/>
                <w:sz w:val="20"/>
                <w:szCs w:val="20"/>
              </w:rPr>
              <w:t>2011–2013)</w:t>
            </w:r>
          </w:p>
        </w:tc>
      </w:tr>
      <w:tr w:rsidR="00190A8F" w:rsidRPr="00FE1BAC" w:rsidTr="00CC05B2">
        <w:trPr>
          <w:cantSplit/>
        </w:trPr>
        <w:tc>
          <w:tcPr>
            <w:tcW w:w="9179" w:type="dxa"/>
          </w:tcPr>
          <w:p w:rsidR="00190A8F" w:rsidRPr="00FE1BAC" w:rsidRDefault="00190A8F" w:rsidP="00727AC6">
            <w:pPr>
              <w:numPr>
                <w:ilvl w:val="0"/>
                <w:numId w:val="6"/>
              </w:numPr>
              <w:spacing w:after="0" w:line="240" w:lineRule="auto"/>
              <w:rPr>
                <w:rFonts w:ascii="Arial" w:hAnsi="Arial" w:cs="Arial"/>
                <w:color w:val="000000"/>
                <w:sz w:val="20"/>
                <w:szCs w:val="20"/>
              </w:rPr>
            </w:pPr>
            <w:r w:rsidRPr="00FE1BAC">
              <w:rPr>
                <w:rFonts w:ascii="Arial" w:hAnsi="Arial" w:cs="Arial"/>
                <w:color w:val="000000"/>
                <w:sz w:val="20"/>
                <w:szCs w:val="20"/>
              </w:rPr>
              <w:t>razpoložljivi dohodek na prebivalca (2009–2011)</w:t>
            </w:r>
          </w:p>
        </w:tc>
      </w:tr>
    </w:tbl>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Pri izboru kazalnikov je upoštevana njihova razpoložljivost na letni in regionalni ravni, relevantnost po vsebini in njihova </w:t>
      </w:r>
      <w:r>
        <w:rPr>
          <w:rFonts w:ascii="Arial" w:hAnsi="Arial" w:cs="Arial"/>
          <w:color w:val="000000"/>
          <w:sz w:val="20"/>
          <w:szCs w:val="20"/>
        </w:rPr>
        <w:t>kakovost</w:t>
      </w:r>
      <w:r w:rsidRPr="00FE1BAC">
        <w:rPr>
          <w:rFonts w:ascii="Arial" w:hAnsi="Arial" w:cs="Arial"/>
          <w:color w:val="000000"/>
          <w:sz w:val="20"/>
          <w:szCs w:val="20"/>
        </w:rPr>
        <w:t>, kar pomeni, da temeljijo na zanesljivih in javno dostopnih podatkih. Razpoložljivost kazalnikov se je pogosto izkazala tudi kot največje omejitveno merilo, ki je določalo izbor.</w:t>
      </w:r>
    </w:p>
    <w:p w:rsidR="00190A8F" w:rsidRPr="00FE1BAC" w:rsidRDefault="00190A8F" w:rsidP="00B01B3B">
      <w:pPr>
        <w:spacing w:after="0" w:line="240" w:lineRule="auto"/>
        <w:jc w:val="both"/>
        <w:rPr>
          <w:rFonts w:ascii="Arial" w:hAnsi="Arial" w:cs="Arial"/>
          <w:color w:val="000000"/>
          <w:sz w:val="20"/>
          <w:szCs w:val="20"/>
        </w:rPr>
      </w:pPr>
    </w:p>
    <w:p w:rsidR="00190A8F" w:rsidRPr="00FE1BAC" w:rsidRDefault="00190A8F" w:rsidP="00B01B3B">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V </w:t>
      </w:r>
      <w:r>
        <w:rPr>
          <w:rFonts w:ascii="Arial" w:hAnsi="Arial" w:cs="Arial"/>
          <w:color w:val="000000"/>
          <w:sz w:val="20"/>
          <w:szCs w:val="20"/>
        </w:rPr>
        <w:t>p</w:t>
      </w:r>
      <w:r w:rsidRPr="00FE1BAC">
        <w:rPr>
          <w:rFonts w:ascii="Arial" w:hAnsi="Arial" w:cs="Arial"/>
          <w:color w:val="000000"/>
          <w:sz w:val="20"/>
          <w:szCs w:val="20"/>
        </w:rPr>
        <w:t>reglednici 2 so kazalniki razvrščeni v kategorije ZSRR-2: kazalniki razvitosti (R), kazalniki ogroženosti (O) in kazalniki razvojnih možnosti (RM). Od izbranih 14 kazalnikov se jih 7 uvršča v kategorijo (R), 6 v kategorijo (O) in 10 v kategorijo (RM). S kazalniki s</w:t>
      </w:r>
      <w:r>
        <w:rPr>
          <w:rFonts w:ascii="Arial" w:hAnsi="Arial" w:cs="Arial"/>
          <w:color w:val="000000"/>
          <w:sz w:val="20"/>
          <w:szCs w:val="20"/>
        </w:rPr>
        <w:t>mo</w:t>
      </w:r>
      <w:r w:rsidRPr="00FE1BAC">
        <w:rPr>
          <w:rFonts w:ascii="Arial" w:hAnsi="Arial" w:cs="Arial"/>
          <w:color w:val="000000"/>
          <w:sz w:val="20"/>
          <w:szCs w:val="20"/>
        </w:rPr>
        <w:t xml:space="preserve"> želel</w:t>
      </w:r>
      <w:r>
        <w:rPr>
          <w:rFonts w:ascii="Arial" w:hAnsi="Arial" w:cs="Arial"/>
          <w:color w:val="000000"/>
          <w:sz w:val="20"/>
          <w:szCs w:val="20"/>
        </w:rPr>
        <w:t>i</w:t>
      </w:r>
      <w:r w:rsidRPr="00FE1BAC">
        <w:rPr>
          <w:rFonts w:ascii="Arial" w:hAnsi="Arial" w:cs="Arial"/>
          <w:color w:val="000000"/>
          <w:sz w:val="20"/>
          <w:szCs w:val="20"/>
        </w:rPr>
        <w:t xml:space="preserve"> ustrezno pokriti tudi vsebinska področja Strategije EU 2020: pametna rast (P), trajnostna ras</w:t>
      </w:r>
      <w:r w:rsidR="003F2C3C">
        <w:rPr>
          <w:rFonts w:ascii="Arial" w:hAnsi="Arial" w:cs="Arial"/>
          <w:color w:val="000000"/>
          <w:sz w:val="20"/>
          <w:szCs w:val="20"/>
        </w:rPr>
        <w:t>t (T) in vključujoča rast (V). 7</w:t>
      </w:r>
      <w:r w:rsidRPr="00FE1BAC">
        <w:rPr>
          <w:rFonts w:ascii="Arial" w:hAnsi="Arial" w:cs="Arial"/>
          <w:color w:val="000000"/>
          <w:sz w:val="20"/>
          <w:szCs w:val="20"/>
        </w:rPr>
        <w:t xml:space="preserve"> kazalnikov se uvršča v kategorijo (P), 3 v kategorijo (T) in 6 v kategorijo (V).</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p>
    <w:p w:rsidR="00547D8F" w:rsidRDefault="00547D8F">
      <w:pPr>
        <w:spacing w:after="0" w:line="240" w:lineRule="auto"/>
        <w:rPr>
          <w:rFonts w:ascii="Arial" w:hAnsi="Arial" w:cs="Arial"/>
          <w:color w:val="000000"/>
          <w:sz w:val="20"/>
          <w:szCs w:val="20"/>
        </w:rPr>
      </w:pPr>
      <w:r>
        <w:rPr>
          <w:rFonts w:ascii="Arial" w:hAnsi="Arial" w:cs="Arial"/>
          <w:color w:val="000000"/>
          <w:sz w:val="20"/>
          <w:szCs w:val="20"/>
        </w:rPr>
        <w:br w:type="page"/>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EB4BF3">
      <w:pPr>
        <w:pStyle w:val="Telobesedila3"/>
        <w:spacing w:after="0"/>
        <w:rPr>
          <w:rFonts w:ascii="Arial" w:hAnsi="Arial" w:cs="Arial"/>
          <w:b/>
          <w:color w:val="000000"/>
          <w:sz w:val="20"/>
          <w:szCs w:val="20"/>
        </w:rPr>
      </w:pPr>
      <w:r w:rsidRPr="00FE1BAC">
        <w:rPr>
          <w:rFonts w:ascii="Arial" w:hAnsi="Arial" w:cs="Arial"/>
          <w:b/>
          <w:color w:val="000000"/>
          <w:sz w:val="20"/>
          <w:szCs w:val="20"/>
        </w:rPr>
        <w:t>Preglednica 2: Razvrstitev kazalnikov v kategorije ZSRR-</w:t>
      </w:r>
      <w:smartTag w:uri="urn:schemas-microsoft-com:office:smarttags" w:element="metricconverter">
        <w:smartTagPr>
          <w:attr w:name="ProductID" w:val="2 in"/>
        </w:smartTagPr>
        <w:r w:rsidRPr="00FE1BAC">
          <w:rPr>
            <w:rFonts w:ascii="Arial" w:hAnsi="Arial" w:cs="Arial"/>
            <w:b/>
            <w:color w:val="000000"/>
            <w:sz w:val="20"/>
            <w:szCs w:val="20"/>
          </w:rPr>
          <w:t>2 in</w:t>
        </w:r>
      </w:smartTag>
      <w:r w:rsidRPr="00FE1BAC">
        <w:rPr>
          <w:rFonts w:ascii="Arial" w:hAnsi="Arial" w:cs="Arial"/>
          <w:b/>
          <w:color w:val="000000"/>
          <w:sz w:val="20"/>
          <w:szCs w:val="20"/>
        </w:rPr>
        <w:t xml:space="preserve"> Strategije EU 2020</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52"/>
        <w:gridCol w:w="1843"/>
        <w:gridCol w:w="2268"/>
      </w:tblGrid>
      <w:tr w:rsidR="00190A8F" w:rsidRPr="00FE1BAC" w:rsidTr="00EB4BF3">
        <w:trPr>
          <w:cantSplit/>
        </w:trPr>
        <w:tc>
          <w:tcPr>
            <w:tcW w:w="5352" w:type="dxa"/>
            <w:vAlign w:val="center"/>
          </w:tcPr>
          <w:p w:rsidR="00190A8F" w:rsidRPr="00FE1BAC" w:rsidRDefault="00190A8F" w:rsidP="00EB4BF3">
            <w:pPr>
              <w:spacing w:after="0" w:line="240" w:lineRule="auto"/>
              <w:jc w:val="center"/>
              <w:rPr>
                <w:rFonts w:ascii="Arial" w:hAnsi="Arial" w:cs="Arial"/>
                <w:color w:val="000000"/>
                <w:sz w:val="20"/>
                <w:szCs w:val="20"/>
              </w:rPr>
            </w:pPr>
            <w:r w:rsidRPr="00FE1BAC">
              <w:rPr>
                <w:rFonts w:ascii="Arial" w:hAnsi="Arial" w:cs="Arial"/>
                <w:color w:val="000000"/>
                <w:sz w:val="20"/>
                <w:szCs w:val="20"/>
              </w:rPr>
              <w:t>KAZALNIK (obdobje)</w:t>
            </w:r>
          </w:p>
        </w:tc>
        <w:tc>
          <w:tcPr>
            <w:tcW w:w="1843" w:type="dxa"/>
            <w:vAlign w:val="center"/>
          </w:tcPr>
          <w:p w:rsidR="00190A8F" w:rsidRPr="00FE1BAC" w:rsidRDefault="00190A8F" w:rsidP="00EB4BF3">
            <w:pPr>
              <w:spacing w:after="0" w:line="240" w:lineRule="auto"/>
              <w:rPr>
                <w:rFonts w:ascii="Arial" w:hAnsi="Arial" w:cs="Arial"/>
                <w:b/>
                <w:color w:val="000000"/>
                <w:sz w:val="20"/>
                <w:szCs w:val="20"/>
              </w:rPr>
            </w:pPr>
            <w:r w:rsidRPr="00FE1BAC">
              <w:rPr>
                <w:rFonts w:ascii="Arial" w:hAnsi="Arial" w:cs="Arial"/>
                <w:b/>
                <w:color w:val="000000"/>
                <w:sz w:val="20"/>
                <w:szCs w:val="20"/>
              </w:rPr>
              <w:t>ZSRR-2:</w:t>
            </w:r>
          </w:p>
          <w:p w:rsidR="00190A8F" w:rsidRDefault="00190A8F" w:rsidP="00EB4BF3">
            <w:pPr>
              <w:spacing w:after="0" w:line="240" w:lineRule="auto"/>
              <w:rPr>
                <w:rFonts w:ascii="Arial" w:hAnsi="Arial" w:cs="Arial"/>
                <w:color w:val="000000"/>
                <w:sz w:val="20"/>
                <w:szCs w:val="20"/>
              </w:rPr>
            </w:pPr>
            <w:r>
              <w:rPr>
                <w:rFonts w:ascii="Arial" w:hAnsi="Arial" w:cs="Arial"/>
                <w:color w:val="000000"/>
                <w:sz w:val="20"/>
                <w:szCs w:val="20"/>
              </w:rPr>
              <w:t>–</w:t>
            </w:r>
            <w:r w:rsidRPr="00FE1BAC">
              <w:rPr>
                <w:rFonts w:ascii="Arial" w:hAnsi="Arial" w:cs="Arial"/>
                <w:color w:val="000000"/>
                <w:sz w:val="20"/>
                <w:szCs w:val="20"/>
              </w:rPr>
              <w:t xml:space="preserve"> RAZVITOST (R)        </w:t>
            </w:r>
            <w:r>
              <w:rPr>
                <w:rFonts w:ascii="Arial" w:hAnsi="Arial" w:cs="Arial"/>
                <w:color w:val="000000"/>
                <w:sz w:val="20"/>
                <w:szCs w:val="20"/>
              </w:rPr>
              <w:t>–</w:t>
            </w:r>
            <w:r w:rsidRPr="00FE1BAC">
              <w:rPr>
                <w:rFonts w:ascii="Arial" w:hAnsi="Arial" w:cs="Arial"/>
                <w:color w:val="000000"/>
                <w:sz w:val="20"/>
                <w:szCs w:val="20"/>
              </w:rPr>
              <w:t xml:space="preserve"> OGROŽENOST (O)  </w:t>
            </w:r>
          </w:p>
          <w:p w:rsidR="00190A8F" w:rsidRPr="00FE1BAC" w:rsidRDefault="00190A8F" w:rsidP="00EB4BF3">
            <w:pPr>
              <w:spacing w:after="0" w:line="240" w:lineRule="auto"/>
              <w:rPr>
                <w:rFonts w:ascii="Arial" w:hAnsi="Arial" w:cs="Arial"/>
                <w:color w:val="000000"/>
                <w:sz w:val="20"/>
                <w:szCs w:val="20"/>
              </w:rPr>
            </w:pPr>
            <w:r>
              <w:rPr>
                <w:rFonts w:ascii="Arial" w:hAnsi="Arial" w:cs="Arial"/>
                <w:color w:val="000000"/>
                <w:sz w:val="20"/>
                <w:szCs w:val="20"/>
              </w:rPr>
              <w:t>–</w:t>
            </w:r>
            <w:r w:rsidRPr="00FE1BAC">
              <w:rPr>
                <w:rFonts w:ascii="Arial" w:hAnsi="Arial" w:cs="Arial"/>
                <w:color w:val="000000"/>
                <w:sz w:val="20"/>
                <w:szCs w:val="20"/>
              </w:rPr>
              <w:t xml:space="preserve"> RAZVOJNE</w:t>
            </w:r>
          </w:p>
          <w:p w:rsidR="00190A8F" w:rsidRPr="00FE1BAC" w:rsidRDefault="00190A8F" w:rsidP="00EB4BF3">
            <w:pPr>
              <w:spacing w:after="0" w:line="240" w:lineRule="auto"/>
              <w:rPr>
                <w:rFonts w:ascii="Arial" w:hAnsi="Arial" w:cs="Arial"/>
                <w:color w:val="000000"/>
                <w:sz w:val="20"/>
                <w:szCs w:val="20"/>
              </w:rPr>
            </w:pPr>
            <w:r w:rsidRPr="00FE1BAC">
              <w:rPr>
                <w:rFonts w:ascii="Arial" w:hAnsi="Arial" w:cs="Arial"/>
                <w:color w:val="000000"/>
                <w:sz w:val="20"/>
                <w:szCs w:val="20"/>
              </w:rPr>
              <w:t xml:space="preserve">  MOŽNOSTI (RM)</w:t>
            </w:r>
          </w:p>
        </w:tc>
        <w:tc>
          <w:tcPr>
            <w:tcW w:w="2268" w:type="dxa"/>
            <w:vAlign w:val="center"/>
          </w:tcPr>
          <w:p w:rsidR="00190A8F" w:rsidRPr="00FE1BAC" w:rsidRDefault="00190A8F" w:rsidP="00EB4BF3">
            <w:pPr>
              <w:spacing w:after="0" w:line="240" w:lineRule="auto"/>
              <w:rPr>
                <w:rFonts w:ascii="Arial" w:hAnsi="Arial" w:cs="Arial"/>
                <w:b/>
                <w:color w:val="000000"/>
                <w:sz w:val="20"/>
                <w:szCs w:val="20"/>
              </w:rPr>
            </w:pPr>
            <w:r w:rsidRPr="00FE1BAC">
              <w:rPr>
                <w:rFonts w:ascii="Arial" w:hAnsi="Arial" w:cs="Arial"/>
                <w:b/>
                <w:color w:val="000000"/>
                <w:sz w:val="20"/>
                <w:szCs w:val="20"/>
              </w:rPr>
              <w:t>STRATEGIJA EU 2020:</w:t>
            </w:r>
          </w:p>
          <w:p w:rsidR="00190A8F" w:rsidRDefault="00190A8F" w:rsidP="00EB4BF3">
            <w:pPr>
              <w:spacing w:after="0" w:line="240" w:lineRule="auto"/>
              <w:rPr>
                <w:rFonts w:ascii="Arial" w:hAnsi="Arial" w:cs="Arial"/>
                <w:color w:val="000000"/>
                <w:sz w:val="20"/>
                <w:szCs w:val="20"/>
              </w:rPr>
            </w:pPr>
            <w:r>
              <w:rPr>
                <w:rFonts w:ascii="Arial" w:hAnsi="Arial" w:cs="Arial"/>
                <w:color w:val="000000"/>
                <w:sz w:val="20"/>
                <w:szCs w:val="20"/>
              </w:rPr>
              <w:t>–</w:t>
            </w:r>
            <w:r w:rsidRPr="00FE1BAC">
              <w:rPr>
                <w:rFonts w:ascii="Arial" w:hAnsi="Arial" w:cs="Arial"/>
                <w:color w:val="000000"/>
                <w:sz w:val="20"/>
                <w:szCs w:val="20"/>
              </w:rPr>
              <w:t xml:space="preserve"> PAMETNA RAST (P)          </w:t>
            </w:r>
            <w:r>
              <w:rPr>
                <w:rFonts w:ascii="Arial" w:hAnsi="Arial" w:cs="Arial"/>
                <w:color w:val="000000"/>
                <w:sz w:val="20"/>
                <w:szCs w:val="20"/>
              </w:rPr>
              <w:t>–</w:t>
            </w:r>
            <w:r w:rsidRPr="00FE1BAC">
              <w:rPr>
                <w:rFonts w:ascii="Arial" w:hAnsi="Arial" w:cs="Arial"/>
                <w:color w:val="000000"/>
                <w:sz w:val="20"/>
                <w:szCs w:val="20"/>
              </w:rPr>
              <w:t xml:space="preserve"> TRAJNOSTNA RAST (T)</w:t>
            </w:r>
          </w:p>
          <w:p w:rsidR="00190A8F" w:rsidRPr="00FE1BAC" w:rsidRDefault="00190A8F" w:rsidP="00EB4BF3">
            <w:pPr>
              <w:spacing w:after="0" w:line="240" w:lineRule="auto"/>
              <w:rPr>
                <w:rFonts w:ascii="Arial" w:hAnsi="Arial" w:cs="Arial"/>
                <w:color w:val="000000"/>
                <w:sz w:val="20"/>
                <w:szCs w:val="20"/>
              </w:rPr>
            </w:pPr>
            <w:r>
              <w:rPr>
                <w:rFonts w:ascii="Arial" w:hAnsi="Arial" w:cs="Arial"/>
                <w:color w:val="000000"/>
                <w:sz w:val="20"/>
                <w:szCs w:val="20"/>
              </w:rPr>
              <w:t>–</w:t>
            </w:r>
            <w:r w:rsidRPr="00FE1BAC">
              <w:rPr>
                <w:rFonts w:ascii="Arial" w:hAnsi="Arial" w:cs="Arial"/>
                <w:color w:val="000000"/>
                <w:sz w:val="20"/>
                <w:szCs w:val="20"/>
              </w:rPr>
              <w:t xml:space="preserve"> VKLJUČUJOČA RAST (V)</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bruto domači proizvod na prebivalca (2009–2011)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bruto dodana vrednost na zaposlenega (2009–2011)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delež bruto investicij v nova osnovna sredstva v bruto domačem proizvodu (2009</w:t>
            </w:r>
            <w:r>
              <w:rPr>
                <w:rFonts w:ascii="Arial" w:hAnsi="Arial" w:cs="Arial"/>
                <w:color w:val="000000"/>
                <w:sz w:val="20"/>
                <w:szCs w:val="20"/>
              </w:rPr>
              <w:t>–</w:t>
            </w:r>
            <w:r w:rsidRPr="00FE1BAC">
              <w:rPr>
                <w:rFonts w:ascii="Arial" w:hAnsi="Arial" w:cs="Arial"/>
                <w:color w:val="000000"/>
                <w:sz w:val="20"/>
                <w:szCs w:val="20"/>
              </w:rPr>
              <w:t>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stopnja registrirane brezposelnosti mladih v starosti 15–29 let (2010–2012)</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P/V</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stopnja delovne aktivnosti v starosti 20–64 let (2010–2012)</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P/V</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 xml:space="preserve">delež prebivalstva s terciarno izobrazbo </w:t>
            </w:r>
            <w:r>
              <w:rPr>
                <w:rFonts w:ascii="Arial" w:hAnsi="Arial" w:cs="Arial"/>
                <w:color w:val="000000"/>
                <w:sz w:val="20"/>
                <w:szCs w:val="20"/>
              </w:rPr>
              <w:t>v starosti</w:t>
            </w:r>
            <w:r w:rsidRPr="00FE1BAC">
              <w:rPr>
                <w:rFonts w:ascii="Arial" w:hAnsi="Arial" w:cs="Arial"/>
                <w:color w:val="000000"/>
                <w:sz w:val="20"/>
                <w:szCs w:val="20"/>
              </w:rPr>
              <w:t xml:space="preserve"> 25–64 let (2011–2012)</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w:t>
            </w:r>
          </w:p>
        </w:tc>
      </w:tr>
      <w:tr w:rsidR="00190A8F" w:rsidRPr="00FE1BAC" w:rsidTr="00B01B3B">
        <w:tc>
          <w:tcPr>
            <w:tcW w:w="5352" w:type="dxa"/>
          </w:tcPr>
          <w:p w:rsidR="00190A8F" w:rsidRPr="00FE1BAC" w:rsidRDefault="00190A8F" w:rsidP="00777D18">
            <w:pPr>
              <w:numPr>
                <w:ilvl w:val="0"/>
                <w:numId w:val="10"/>
              </w:numPr>
              <w:spacing w:after="0" w:line="240" w:lineRule="auto"/>
              <w:jc w:val="both"/>
              <w:rPr>
                <w:rFonts w:ascii="Arial" w:hAnsi="Arial" w:cs="Arial"/>
                <w:color w:val="000000"/>
                <w:sz w:val="20"/>
                <w:szCs w:val="20"/>
              </w:rPr>
            </w:pPr>
            <w:r w:rsidRPr="00FE1BAC">
              <w:rPr>
                <w:rFonts w:ascii="Arial" w:hAnsi="Arial" w:cs="Arial"/>
                <w:color w:val="000000"/>
                <w:sz w:val="20"/>
                <w:szCs w:val="20"/>
              </w:rPr>
              <w:t>delež bruto domačih izdatkov za raziskovalno in razvojno dejavnost v bruto domačem proizvodu (2009–2011)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P</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prečiščene odpadne vode z vsaj sekundarnim čiščenjem v izpuščeni odpadni vodi</w:t>
            </w:r>
            <w:r w:rsidRPr="00FE1BAC">
              <w:rPr>
                <w:rFonts w:ascii="Arial" w:hAnsi="Arial" w:cs="Arial"/>
                <w:color w:val="000000"/>
                <w:sz w:val="20"/>
                <w:szCs w:val="20"/>
              </w:rPr>
              <w:t xml:space="preserve"> (2012)</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T</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površine zavarovanih območij v regiji</w:t>
            </w:r>
            <w:r w:rsidRPr="00FE1BAC">
              <w:rPr>
                <w:rFonts w:ascii="Arial" w:hAnsi="Arial" w:cs="Arial"/>
                <w:color w:val="000000"/>
                <w:sz w:val="20"/>
                <w:szCs w:val="20"/>
              </w:rPr>
              <w:t xml:space="preserve"> (2013)</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T</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delež ocenjene škode zaradi elementarnih nesreč v bruto domačem proizvodu (2009–2011)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T</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stopnja registrirane brezposelnosti (2010–2012)</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V</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indeks staranja prebivalstva (2011–2013)</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V</w:t>
            </w:r>
          </w:p>
        </w:tc>
      </w:tr>
      <w:tr w:rsidR="00190A8F" w:rsidRPr="00FE1BAC" w:rsidTr="00B01B3B">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lang w:eastAsia="sl-SI"/>
              </w:rPr>
              <w:t>skupni koeficient starostne odvisnosti (</w:t>
            </w:r>
            <w:r w:rsidRPr="00FE1BAC">
              <w:rPr>
                <w:rFonts w:ascii="Arial" w:hAnsi="Arial" w:cs="Arial"/>
                <w:color w:val="000000"/>
                <w:sz w:val="20"/>
                <w:szCs w:val="20"/>
              </w:rPr>
              <w:t>2011–2013)</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O/RM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V</w:t>
            </w:r>
          </w:p>
        </w:tc>
      </w:tr>
      <w:tr w:rsidR="00190A8F" w:rsidRPr="00FE1BAC" w:rsidTr="00B01B3B">
        <w:trPr>
          <w:cantSplit/>
        </w:trPr>
        <w:tc>
          <w:tcPr>
            <w:tcW w:w="5352" w:type="dxa"/>
          </w:tcPr>
          <w:p w:rsidR="00190A8F" w:rsidRPr="00FE1BAC" w:rsidRDefault="00190A8F" w:rsidP="00777D18">
            <w:pPr>
              <w:numPr>
                <w:ilvl w:val="0"/>
                <w:numId w:val="10"/>
              </w:numPr>
              <w:spacing w:after="0" w:line="240" w:lineRule="auto"/>
              <w:rPr>
                <w:rFonts w:ascii="Arial" w:hAnsi="Arial" w:cs="Arial"/>
                <w:color w:val="000000"/>
                <w:sz w:val="20"/>
                <w:szCs w:val="20"/>
              </w:rPr>
            </w:pPr>
            <w:r w:rsidRPr="00FE1BAC">
              <w:rPr>
                <w:rFonts w:ascii="Arial" w:hAnsi="Arial" w:cs="Arial"/>
                <w:color w:val="000000"/>
                <w:sz w:val="20"/>
                <w:szCs w:val="20"/>
              </w:rPr>
              <w:t>razpoložljivi dohodek na prebivalca (2009–2011)</w:t>
            </w:r>
          </w:p>
        </w:tc>
        <w:tc>
          <w:tcPr>
            <w:tcW w:w="1843" w:type="dxa"/>
            <w:vAlign w:val="bottom"/>
          </w:tcPr>
          <w:p w:rsidR="00190A8F" w:rsidRPr="000770CD" w:rsidRDefault="00190A8F">
            <w:pPr>
              <w:jc w:val="center"/>
              <w:rPr>
                <w:rFonts w:ascii="Arial" w:hAnsi="Arial"/>
                <w:color w:val="000000"/>
                <w:sz w:val="20"/>
                <w:szCs w:val="20"/>
              </w:rPr>
            </w:pPr>
            <w:r w:rsidRPr="000770CD">
              <w:rPr>
                <w:rFonts w:ascii="Arial" w:hAnsi="Arial"/>
                <w:color w:val="000000"/>
                <w:sz w:val="20"/>
                <w:szCs w:val="20"/>
              </w:rPr>
              <w:t>R/RM</w:t>
            </w:r>
          </w:p>
        </w:tc>
        <w:tc>
          <w:tcPr>
            <w:tcW w:w="2268" w:type="dxa"/>
          </w:tcPr>
          <w:p w:rsidR="00190A8F" w:rsidRPr="000770CD" w:rsidRDefault="00190A8F" w:rsidP="005B7D86">
            <w:pPr>
              <w:jc w:val="center"/>
              <w:rPr>
                <w:rFonts w:ascii="Arial" w:hAnsi="Arial"/>
                <w:color w:val="000000"/>
                <w:sz w:val="20"/>
                <w:szCs w:val="20"/>
              </w:rPr>
            </w:pPr>
            <w:r w:rsidRPr="000770CD">
              <w:rPr>
                <w:rFonts w:ascii="Arial" w:hAnsi="Arial"/>
                <w:color w:val="000000"/>
                <w:sz w:val="20"/>
                <w:szCs w:val="20"/>
              </w:rPr>
              <w:t>V</w:t>
            </w:r>
          </w:p>
        </w:tc>
      </w:tr>
    </w:tbl>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Obrazložitev izbranih kazalnikov</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t>Bruto domači proizvod na prebivalca</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Bruto domači proizvod na prebivalca je najpogosteje uporabljeni kazalnik, s katerim ugotavljamo razlike v ekonomski moči in razvitosti različnih teritorialnih enot med seboj. </w:t>
      </w:r>
      <w:r>
        <w:rPr>
          <w:rFonts w:ascii="Arial" w:hAnsi="Arial" w:cs="Arial"/>
          <w:color w:val="000000"/>
          <w:sz w:val="20"/>
          <w:szCs w:val="20"/>
        </w:rPr>
        <w:t>Čeprav</w:t>
      </w:r>
      <w:r w:rsidRPr="00FE1BAC">
        <w:rPr>
          <w:rFonts w:ascii="Arial" w:hAnsi="Arial" w:cs="Arial"/>
          <w:color w:val="000000"/>
          <w:sz w:val="20"/>
          <w:szCs w:val="20"/>
        </w:rPr>
        <w:t xml:space="preserve"> ima </w:t>
      </w:r>
      <w:r>
        <w:rPr>
          <w:rFonts w:ascii="Arial" w:hAnsi="Arial" w:cs="Arial"/>
          <w:color w:val="000000"/>
          <w:sz w:val="20"/>
          <w:szCs w:val="20"/>
        </w:rPr>
        <w:t>nekatere</w:t>
      </w:r>
      <w:r w:rsidRPr="00FE1BAC">
        <w:rPr>
          <w:rFonts w:ascii="Arial" w:hAnsi="Arial" w:cs="Arial"/>
          <w:color w:val="000000"/>
          <w:sz w:val="20"/>
          <w:szCs w:val="20"/>
        </w:rPr>
        <w:t xml:space="preserve"> pomanjkljivosti, je še vedno kazalnik, ki na regionalni ravni najbolj celovito kaže rezultate </w:t>
      </w:r>
      <w:r>
        <w:rPr>
          <w:rFonts w:ascii="Arial" w:hAnsi="Arial" w:cs="Arial"/>
          <w:color w:val="000000"/>
          <w:sz w:val="20"/>
          <w:szCs w:val="20"/>
        </w:rPr>
        <w:t>gospodarske</w:t>
      </w:r>
      <w:r w:rsidRPr="00FE1BAC">
        <w:rPr>
          <w:rFonts w:ascii="Arial" w:hAnsi="Arial" w:cs="Arial"/>
          <w:color w:val="000000"/>
          <w:sz w:val="20"/>
          <w:szCs w:val="20"/>
        </w:rPr>
        <w:t xml:space="preserve"> dejavnosti, dosežene v posameznih teritorialnih enotah v določenem obdobju. Izračun temelji na regionalnih računih, ki so podsistem nacionalnih računov, katerega predmet raziskovanja so določene prostorske enote. Koncepti, uporabljeni v regionalnih računih, so isti </w:t>
      </w:r>
      <w:r>
        <w:rPr>
          <w:rFonts w:ascii="Arial" w:hAnsi="Arial" w:cs="Arial"/>
          <w:color w:val="000000"/>
          <w:sz w:val="20"/>
          <w:szCs w:val="20"/>
        </w:rPr>
        <w:t>kakor</w:t>
      </w:r>
      <w:r w:rsidRPr="00FE1BAC">
        <w:rPr>
          <w:rFonts w:ascii="Arial" w:hAnsi="Arial" w:cs="Arial"/>
          <w:color w:val="000000"/>
          <w:sz w:val="20"/>
          <w:szCs w:val="20"/>
        </w:rPr>
        <w:t xml:space="preserve"> v nacionalnih računih.</w:t>
      </w:r>
      <w:r w:rsidRPr="00FE1BAC" w:rsidDel="00223677">
        <w:rPr>
          <w:rFonts w:ascii="Arial" w:hAnsi="Arial" w:cs="Arial"/>
          <w:color w:val="000000"/>
          <w:sz w:val="20"/>
          <w:szCs w:val="20"/>
        </w:rPr>
        <w:t xml:space="preserve"> </w:t>
      </w:r>
      <w:r w:rsidRPr="00FE1BAC">
        <w:rPr>
          <w:rFonts w:ascii="Arial" w:hAnsi="Arial" w:cs="Arial"/>
          <w:color w:val="000000"/>
          <w:sz w:val="20"/>
          <w:szCs w:val="20"/>
        </w:rPr>
        <w:t>Bruto domači proizvod je enak vsoti bruto dodane vrednosti v osnovnih cenah vseh dejavnosti in neto davkov na proizvode (davki na proizvode</w:t>
      </w:r>
      <w:r>
        <w:rPr>
          <w:rFonts w:ascii="Arial" w:hAnsi="Arial" w:cs="Arial"/>
          <w:color w:val="000000"/>
          <w:sz w:val="20"/>
          <w:szCs w:val="20"/>
        </w:rPr>
        <w:t>,</w:t>
      </w:r>
      <w:r w:rsidRPr="00FE1BAC">
        <w:rPr>
          <w:rFonts w:ascii="Arial" w:hAnsi="Arial" w:cs="Arial"/>
          <w:color w:val="000000"/>
          <w:sz w:val="20"/>
          <w:szCs w:val="20"/>
        </w:rPr>
        <w:t xml:space="preserve"> zmanjšani za subvencije po proizvodih). Izračunan je po posredni metodi, kar pomeni, da so podatki o bruto dodan</w:t>
      </w:r>
      <w:r>
        <w:rPr>
          <w:rFonts w:ascii="Arial" w:hAnsi="Arial" w:cs="Arial"/>
          <w:color w:val="000000"/>
          <w:sz w:val="20"/>
          <w:szCs w:val="20"/>
        </w:rPr>
        <w:t>i</w:t>
      </w:r>
      <w:r w:rsidRPr="00FE1BAC">
        <w:rPr>
          <w:rFonts w:ascii="Arial" w:hAnsi="Arial" w:cs="Arial"/>
          <w:color w:val="000000"/>
          <w:sz w:val="20"/>
          <w:szCs w:val="20"/>
        </w:rPr>
        <w:t xml:space="preserve"> vrednosti po dejavnostih na državni ravni po določenih dohodkovnih komponentah porazdeljeni po regijah z ustreznimi ključi.</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color w:val="000000"/>
          <w:sz w:val="20"/>
          <w:szCs w:val="20"/>
        </w:rPr>
        <w:t xml:space="preserve">Kazalnik je na voljo vsako leto z dvoletnim zamikom, zadnji za leto 2011. </w:t>
      </w:r>
    </w:p>
    <w:p w:rsidR="00190A8F" w:rsidRDefault="00190A8F" w:rsidP="005951FE">
      <w:pPr>
        <w:spacing w:after="0" w:line="240" w:lineRule="auto"/>
        <w:jc w:val="both"/>
        <w:rPr>
          <w:rFonts w:ascii="Arial" w:hAnsi="Arial" w:cs="Arial"/>
          <w:b/>
          <w:color w:val="000000"/>
          <w:sz w:val="20"/>
          <w:szCs w:val="20"/>
        </w:rPr>
      </w:pPr>
    </w:p>
    <w:p w:rsidR="00547D8F" w:rsidRPr="00FE1BAC" w:rsidRDefault="00547D8F" w:rsidP="005951FE">
      <w:pPr>
        <w:spacing w:after="0" w:line="240" w:lineRule="auto"/>
        <w:jc w:val="both"/>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lastRenderedPageBreak/>
        <w:t>Bruto dodana vrednost na zaposlenega</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F64779">
      <w:pPr>
        <w:pStyle w:val="Brezrazmikov"/>
        <w:jc w:val="both"/>
        <w:rPr>
          <w:rFonts w:ascii="Arial" w:hAnsi="Arial" w:cs="Arial"/>
          <w:color w:val="000000"/>
          <w:sz w:val="20"/>
          <w:szCs w:val="20"/>
        </w:rPr>
      </w:pPr>
      <w:r w:rsidRPr="00FE1BAC">
        <w:rPr>
          <w:rFonts w:ascii="Arial" w:hAnsi="Arial" w:cs="Arial"/>
          <w:color w:val="000000"/>
          <w:sz w:val="20"/>
          <w:szCs w:val="20"/>
        </w:rPr>
        <w:t>Bruto dodana vrednost na zaposlenega je kazalnik produktivnosti dela. Izračunana je iz bruto domačega proizvoda v osnovnih cenah</w:t>
      </w:r>
      <w:r>
        <w:rPr>
          <w:rFonts w:ascii="Arial" w:hAnsi="Arial" w:cs="Arial"/>
          <w:color w:val="000000"/>
          <w:sz w:val="20"/>
          <w:szCs w:val="20"/>
        </w:rPr>
        <w:t>,</w:t>
      </w:r>
      <w:r w:rsidRPr="00FE1BAC">
        <w:rPr>
          <w:rFonts w:ascii="Arial" w:hAnsi="Arial" w:cs="Arial"/>
          <w:color w:val="000000"/>
          <w:sz w:val="20"/>
          <w:szCs w:val="20"/>
        </w:rPr>
        <w:t xml:space="preserve"> od katerega so odšteti neto davki na proizvode (davki na proizvode</w:t>
      </w:r>
      <w:r>
        <w:rPr>
          <w:rFonts w:ascii="Arial" w:hAnsi="Arial" w:cs="Arial"/>
          <w:color w:val="000000"/>
          <w:sz w:val="20"/>
          <w:szCs w:val="20"/>
        </w:rPr>
        <w:t>,</w:t>
      </w:r>
      <w:r w:rsidRPr="00FE1BAC">
        <w:rPr>
          <w:rFonts w:ascii="Arial" w:hAnsi="Arial" w:cs="Arial"/>
          <w:color w:val="000000"/>
          <w:sz w:val="20"/>
          <w:szCs w:val="20"/>
        </w:rPr>
        <w:t xml:space="preserve"> zmanjšani za subvencije po proizvodih). Viri podatkov in metoda izračuna so isti kot za bruto domači proizvod, prav tako pa tudi razpoložljivost podatkov.</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05205B">
      <w:pPr>
        <w:spacing w:after="0" w:line="240" w:lineRule="auto"/>
        <w:jc w:val="both"/>
        <w:rPr>
          <w:rFonts w:ascii="Arial" w:hAnsi="Arial" w:cs="Arial"/>
          <w:b/>
          <w:color w:val="000000"/>
          <w:sz w:val="20"/>
          <w:szCs w:val="20"/>
        </w:rPr>
      </w:pPr>
      <w:r w:rsidRPr="00FE1BAC">
        <w:rPr>
          <w:rFonts w:ascii="Arial" w:hAnsi="Arial" w:cs="Arial"/>
          <w:b/>
          <w:color w:val="000000"/>
          <w:sz w:val="20"/>
          <w:szCs w:val="20"/>
        </w:rPr>
        <w:t>Delež bruto investicij v nova osnovna sredstva v bruto domačem proizvodu</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0268A0">
      <w:pPr>
        <w:spacing w:after="0" w:line="240" w:lineRule="auto"/>
        <w:jc w:val="both"/>
        <w:rPr>
          <w:rFonts w:ascii="Arial" w:hAnsi="Arial" w:cs="Arial"/>
          <w:color w:val="000000"/>
          <w:sz w:val="20"/>
          <w:szCs w:val="20"/>
        </w:rPr>
      </w:pPr>
      <w:r w:rsidRPr="00FE1BAC">
        <w:rPr>
          <w:rFonts w:ascii="Arial" w:hAnsi="Arial" w:cs="Arial"/>
          <w:color w:val="000000"/>
          <w:sz w:val="20"/>
          <w:szCs w:val="20"/>
        </w:rPr>
        <w:t>Investicije imajo veliko vlogo pri gospodarskem in tudi širšem razvoju vsake družbe, zato je kazalnik vključen v nabor za izračun indeksa razvojne ogroženosti kot delež v bruto domačem proizvodu. S tem nam kazalnik pove, koliko regija namenja za razvoj v obliki investicij glede na svoje možnosti (ustvarjeni BDP). Zaradi omejenih podatkovnih virov so upoštevane samo bruto investicije v nova</w:t>
      </w:r>
      <w:r w:rsidRPr="00FE1BAC">
        <w:rPr>
          <w:rStyle w:val="Sprotnaopomba-sklic"/>
          <w:rFonts w:ascii="Arial" w:hAnsi="Arial" w:cs="Arial"/>
          <w:color w:val="000000"/>
          <w:sz w:val="20"/>
          <w:szCs w:val="20"/>
        </w:rPr>
        <w:footnoteReference w:id="1"/>
      </w:r>
      <w:r w:rsidRPr="00FE1BAC">
        <w:rPr>
          <w:rFonts w:ascii="Arial" w:hAnsi="Arial" w:cs="Arial"/>
          <w:color w:val="000000"/>
          <w:sz w:val="20"/>
          <w:szCs w:val="20"/>
        </w:rPr>
        <w:t xml:space="preserve"> osnovna sredstva. </w:t>
      </w:r>
    </w:p>
    <w:p w:rsidR="00190A8F" w:rsidRPr="00FE1BAC" w:rsidRDefault="00190A8F" w:rsidP="00AD7204">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color w:val="000000"/>
          <w:sz w:val="20"/>
          <w:szCs w:val="20"/>
        </w:rPr>
        <w:t xml:space="preserve">Kazalnik je na voljo vsako leto z dvoletnim zamikom, zadnji za leto 2011. </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b/>
          <w:color w:val="000000"/>
          <w:sz w:val="20"/>
          <w:szCs w:val="20"/>
        </w:rPr>
      </w:pPr>
      <w:r w:rsidRPr="00FE1BAC">
        <w:rPr>
          <w:rFonts w:ascii="Arial" w:hAnsi="Arial" w:cs="Arial"/>
          <w:b/>
          <w:color w:val="000000"/>
          <w:sz w:val="20"/>
          <w:szCs w:val="20"/>
        </w:rPr>
        <w:t>Stopnja registrirane brezposelnosti mladih v starosti 15</w:t>
      </w:r>
      <w:r w:rsidRPr="00FE1BAC">
        <w:rPr>
          <w:rFonts w:ascii="Arial" w:hAnsi="Arial" w:cs="Arial"/>
          <w:color w:val="000000"/>
          <w:sz w:val="20"/>
          <w:szCs w:val="20"/>
        </w:rPr>
        <w:t>–</w:t>
      </w:r>
      <w:r w:rsidRPr="00FE1BAC">
        <w:rPr>
          <w:rFonts w:ascii="Arial" w:hAnsi="Arial" w:cs="Arial"/>
          <w:b/>
          <w:color w:val="000000"/>
          <w:sz w:val="20"/>
          <w:szCs w:val="20"/>
        </w:rPr>
        <w:t xml:space="preserve">29 let  </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V Sloveniji je v povprečju stopnja registrirane brezposelnosti mladih </w:t>
      </w:r>
      <w:r>
        <w:rPr>
          <w:rFonts w:ascii="Arial" w:hAnsi="Arial" w:cs="Arial"/>
          <w:color w:val="000000"/>
          <w:sz w:val="20"/>
          <w:szCs w:val="20"/>
        </w:rPr>
        <w:t xml:space="preserve">v starosti </w:t>
      </w:r>
      <w:r w:rsidRPr="00FE1BAC">
        <w:rPr>
          <w:rFonts w:ascii="Arial" w:hAnsi="Arial" w:cs="Arial"/>
          <w:color w:val="000000"/>
          <w:sz w:val="20"/>
          <w:szCs w:val="20"/>
        </w:rPr>
        <w:t>od 15–24 let dvakrat višja kot skupna stopnja registrirane brezposelnosti, v starostni skupini 15–29 let pa za dobri dve tretjini višja. V drugi starostni skupini je stopnja manjša kot v prvi zato, ker je kar okoli 40 % mladih</w:t>
      </w:r>
      <w:r>
        <w:rPr>
          <w:rFonts w:ascii="Arial" w:hAnsi="Arial" w:cs="Arial"/>
          <w:color w:val="000000"/>
          <w:sz w:val="20"/>
          <w:szCs w:val="20"/>
        </w:rPr>
        <w:t>, starih</w:t>
      </w:r>
      <w:r w:rsidRPr="00FE1BAC">
        <w:rPr>
          <w:rFonts w:ascii="Arial" w:hAnsi="Arial" w:cs="Arial"/>
          <w:color w:val="000000"/>
          <w:sz w:val="20"/>
          <w:szCs w:val="20"/>
        </w:rPr>
        <w:t xml:space="preserve"> od 20–29 let</w:t>
      </w:r>
      <w:r>
        <w:rPr>
          <w:rFonts w:ascii="Arial" w:hAnsi="Arial" w:cs="Arial"/>
          <w:color w:val="000000"/>
          <w:sz w:val="20"/>
          <w:szCs w:val="20"/>
        </w:rPr>
        <w:t xml:space="preserve">, </w:t>
      </w:r>
      <w:r w:rsidRPr="00FE1BAC">
        <w:rPr>
          <w:rFonts w:ascii="Arial" w:hAnsi="Arial" w:cs="Arial"/>
          <w:color w:val="000000"/>
          <w:sz w:val="20"/>
          <w:szCs w:val="20"/>
        </w:rPr>
        <w:t>vključenih v terciarno izobraževanje, ki ga pogosto podaljšujejo prav zato, ker primanjkuje delovnih mest in posledično pozno vstopijo na trg dela. Mladinska politika je vključena tudi v strategije EU (npr. Evropa 2020) in s tem v evropsko kohezijsko politiko (spodbuda nove kohezijske politike EU za zaposlovanje mladih v starostni skupini 15–24 let), v Sloveniji pa je bila pred kratkim sprejeta  Resolucija o nacionalnem programu za mladino (Ur</w:t>
      </w:r>
      <w:r>
        <w:rPr>
          <w:rFonts w:ascii="Arial" w:hAnsi="Arial" w:cs="Arial"/>
          <w:color w:val="000000"/>
          <w:sz w:val="20"/>
          <w:szCs w:val="20"/>
        </w:rPr>
        <w:t>adni list</w:t>
      </w:r>
      <w:r w:rsidRPr="00FE1BAC">
        <w:rPr>
          <w:rFonts w:ascii="Arial" w:hAnsi="Arial" w:cs="Arial"/>
          <w:color w:val="000000"/>
          <w:sz w:val="20"/>
          <w:szCs w:val="20"/>
        </w:rPr>
        <w:t xml:space="preserve"> RS</w:t>
      </w:r>
      <w:r>
        <w:rPr>
          <w:rFonts w:ascii="Arial" w:hAnsi="Arial" w:cs="Arial"/>
          <w:color w:val="000000"/>
          <w:sz w:val="20"/>
          <w:szCs w:val="20"/>
        </w:rPr>
        <w:t>, št.</w:t>
      </w:r>
      <w:r w:rsidRPr="00FE1BAC">
        <w:rPr>
          <w:rFonts w:ascii="Arial" w:hAnsi="Arial" w:cs="Arial"/>
          <w:color w:val="000000"/>
          <w:sz w:val="20"/>
          <w:szCs w:val="20"/>
        </w:rPr>
        <w:t xml:space="preserve"> 90/13), ki je namenjen mladim od 15</w:t>
      </w:r>
      <w:r>
        <w:rPr>
          <w:rFonts w:ascii="Arial" w:hAnsi="Arial" w:cs="Arial"/>
          <w:color w:val="000000"/>
          <w:sz w:val="20"/>
          <w:szCs w:val="20"/>
        </w:rPr>
        <w:t>.</w:t>
      </w:r>
      <w:r w:rsidRPr="00FE1BAC">
        <w:rPr>
          <w:rFonts w:ascii="Arial" w:hAnsi="Arial" w:cs="Arial"/>
          <w:color w:val="000000"/>
          <w:sz w:val="20"/>
          <w:szCs w:val="20"/>
        </w:rPr>
        <w:t>–29</w:t>
      </w:r>
      <w:r>
        <w:rPr>
          <w:rFonts w:ascii="Arial" w:hAnsi="Arial" w:cs="Arial"/>
          <w:color w:val="000000"/>
          <w:sz w:val="20"/>
          <w:szCs w:val="20"/>
        </w:rPr>
        <w:t>.</w:t>
      </w:r>
      <w:r w:rsidRPr="00FE1BAC">
        <w:rPr>
          <w:rFonts w:ascii="Arial" w:hAnsi="Arial" w:cs="Arial"/>
          <w:color w:val="000000"/>
          <w:sz w:val="20"/>
          <w:szCs w:val="20"/>
        </w:rPr>
        <w:t xml:space="preserve"> leta. V izračunu smo zato običajni starostni skupini mladih (15–24 let) prišteli še skupino od 25–29 let, tako da so v skupino mladih zajeti tudi tisti, ki so nadaljevali šolanje na terciarni ravni. Stopnja registrirane brezposelnosti </w:t>
      </w:r>
      <w:r>
        <w:rPr>
          <w:rFonts w:ascii="Arial" w:hAnsi="Arial" w:cs="Arial"/>
          <w:color w:val="000000"/>
          <w:sz w:val="20"/>
          <w:szCs w:val="20"/>
        </w:rPr>
        <w:t xml:space="preserve">prebivalstva </w:t>
      </w:r>
      <w:r w:rsidRPr="00FE1BAC">
        <w:rPr>
          <w:rFonts w:ascii="Arial" w:hAnsi="Arial" w:cs="Arial"/>
          <w:color w:val="000000"/>
          <w:sz w:val="20"/>
          <w:szCs w:val="20"/>
        </w:rPr>
        <w:t>v starosti 15–29 let je izračunana kot odstotni delež registriranih brezposelnih oseb v starosti 15–29 let med registriranim aktivnim prebivalstvom (registrirani delovno aktivni in registrirani brezposelni) v starosti 15–29 let. Na regionalni ravni so za ta kazalnik na voljo le podatki Statističnega registra delovno aktivnega prebivalstva (SRDAP).</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E04CE8">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Podatki za kazalnik so na voljo mesečno z zamikom dveh mesecev. Zadnji razpoložljivi letni podatek je na voljo za leto 2012. </w:t>
      </w:r>
    </w:p>
    <w:p w:rsidR="00190A8F" w:rsidRPr="00FE1BAC" w:rsidRDefault="00190A8F">
      <w:pPr>
        <w:spacing w:after="0" w:line="240" w:lineRule="auto"/>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p>
    <w:p w:rsidR="00190A8F" w:rsidRPr="00722140"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t xml:space="preserve">Stopnja delovne </w:t>
      </w:r>
      <w:r w:rsidRPr="00722140">
        <w:rPr>
          <w:rFonts w:ascii="Arial" w:hAnsi="Arial" w:cs="Arial"/>
          <w:b/>
          <w:color w:val="000000"/>
          <w:sz w:val="20"/>
          <w:szCs w:val="20"/>
        </w:rPr>
        <w:t>aktivnosti v starosti 20–64 let</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Stopnja delovne aktivnosti je eden od osnovnih kazalnikov trga dela, ki kaže razmerje med registriranimi delovno aktivnimi in delovno sposobnimi prebivalci. Običajno se v izračunu uporablja starostn</w:t>
      </w:r>
      <w:r>
        <w:rPr>
          <w:rFonts w:ascii="Arial" w:hAnsi="Arial" w:cs="Arial"/>
          <w:color w:val="000000"/>
          <w:sz w:val="20"/>
          <w:szCs w:val="20"/>
        </w:rPr>
        <w:t>a</w:t>
      </w:r>
      <w:r w:rsidRPr="00FE1BAC">
        <w:rPr>
          <w:rFonts w:ascii="Arial" w:hAnsi="Arial" w:cs="Arial"/>
          <w:color w:val="000000"/>
          <w:sz w:val="20"/>
          <w:szCs w:val="20"/>
        </w:rPr>
        <w:t xml:space="preserve"> skupin</w:t>
      </w:r>
      <w:r>
        <w:rPr>
          <w:rFonts w:ascii="Arial" w:hAnsi="Arial" w:cs="Arial"/>
          <w:color w:val="000000"/>
          <w:sz w:val="20"/>
          <w:szCs w:val="20"/>
        </w:rPr>
        <w:t>a</w:t>
      </w:r>
      <w:r w:rsidRPr="00FE1BAC">
        <w:rPr>
          <w:rFonts w:ascii="Arial" w:hAnsi="Arial" w:cs="Arial"/>
          <w:color w:val="000000"/>
          <w:sz w:val="20"/>
          <w:szCs w:val="20"/>
        </w:rPr>
        <w:t xml:space="preserve"> od 15–64 let, ker pa je večina prebivalcev</w:t>
      </w:r>
      <w:r>
        <w:rPr>
          <w:rFonts w:ascii="Arial" w:hAnsi="Arial" w:cs="Arial"/>
          <w:color w:val="000000"/>
          <w:sz w:val="20"/>
          <w:szCs w:val="20"/>
        </w:rPr>
        <w:t>, starih</w:t>
      </w:r>
      <w:r w:rsidRPr="00FE1BAC">
        <w:rPr>
          <w:rFonts w:ascii="Arial" w:hAnsi="Arial" w:cs="Arial"/>
          <w:color w:val="000000"/>
          <w:sz w:val="20"/>
          <w:szCs w:val="20"/>
        </w:rPr>
        <w:t xml:space="preserve"> do 20 let</w:t>
      </w:r>
      <w:r>
        <w:rPr>
          <w:rFonts w:ascii="Arial" w:hAnsi="Arial" w:cs="Arial"/>
          <w:color w:val="000000"/>
          <w:sz w:val="20"/>
          <w:szCs w:val="20"/>
        </w:rPr>
        <w:t>,</w:t>
      </w:r>
      <w:r w:rsidRPr="00FE1BAC">
        <w:rPr>
          <w:rFonts w:ascii="Arial" w:hAnsi="Arial" w:cs="Arial"/>
          <w:color w:val="000000"/>
          <w:sz w:val="20"/>
          <w:szCs w:val="20"/>
        </w:rPr>
        <w:t xml:space="preserve"> vključena v izobraževanje, smo med delovno sposobne šteli le tiste</w:t>
      </w:r>
      <w:r>
        <w:rPr>
          <w:rFonts w:ascii="Arial" w:hAnsi="Arial" w:cs="Arial"/>
          <w:color w:val="000000"/>
          <w:sz w:val="20"/>
          <w:szCs w:val="20"/>
        </w:rPr>
        <w:t>, stare</w:t>
      </w:r>
      <w:r w:rsidRPr="00FE1BAC">
        <w:rPr>
          <w:rFonts w:ascii="Arial" w:hAnsi="Arial" w:cs="Arial"/>
          <w:color w:val="000000"/>
          <w:sz w:val="20"/>
          <w:szCs w:val="20"/>
        </w:rPr>
        <w:t xml:space="preserve"> od 20–64 let. 75</w:t>
      </w:r>
      <w:r>
        <w:rPr>
          <w:rFonts w:ascii="Arial" w:hAnsi="Arial" w:cs="Arial"/>
          <w:color w:val="000000"/>
          <w:sz w:val="20"/>
          <w:szCs w:val="20"/>
        </w:rPr>
        <w:t>-</w:t>
      </w:r>
      <w:r w:rsidRPr="00FE1BAC">
        <w:rPr>
          <w:rFonts w:ascii="Arial" w:hAnsi="Arial" w:cs="Arial"/>
          <w:color w:val="000000"/>
          <w:sz w:val="20"/>
          <w:szCs w:val="20"/>
        </w:rPr>
        <w:t>odstotna zaposlenost aktivnega prebivalstva</w:t>
      </w:r>
      <w:r>
        <w:rPr>
          <w:rFonts w:ascii="Arial" w:hAnsi="Arial" w:cs="Arial"/>
          <w:color w:val="000000"/>
          <w:sz w:val="20"/>
          <w:szCs w:val="20"/>
        </w:rPr>
        <w:t>, starega</w:t>
      </w:r>
      <w:r w:rsidRPr="00FE1BAC">
        <w:rPr>
          <w:rFonts w:ascii="Arial" w:hAnsi="Arial" w:cs="Arial"/>
          <w:color w:val="000000"/>
          <w:sz w:val="20"/>
          <w:szCs w:val="20"/>
        </w:rPr>
        <w:t xml:space="preserve"> </w:t>
      </w:r>
      <w:r>
        <w:rPr>
          <w:rFonts w:ascii="Arial" w:hAnsi="Arial" w:cs="Arial"/>
          <w:color w:val="000000"/>
          <w:sz w:val="20"/>
          <w:szCs w:val="20"/>
        </w:rPr>
        <w:t xml:space="preserve">od </w:t>
      </w:r>
      <w:r w:rsidRPr="00FE1BAC">
        <w:rPr>
          <w:rFonts w:ascii="Arial" w:hAnsi="Arial" w:cs="Arial"/>
          <w:color w:val="000000"/>
          <w:sz w:val="20"/>
          <w:szCs w:val="20"/>
        </w:rPr>
        <w:t>20</w:t>
      </w:r>
      <w:r>
        <w:rPr>
          <w:rFonts w:ascii="Arial" w:hAnsi="Arial" w:cs="Arial"/>
          <w:color w:val="000000"/>
          <w:sz w:val="20"/>
          <w:szCs w:val="20"/>
        </w:rPr>
        <w:t>–</w:t>
      </w:r>
      <w:r w:rsidRPr="00FE1BAC">
        <w:rPr>
          <w:rFonts w:ascii="Arial" w:hAnsi="Arial" w:cs="Arial"/>
          <w:color w:val="000000"/>
          <w:sz w:val="20"/>
          <w:szCs w:val="20"/>
        </w:rPr>
        <w:t>64 let</w:t>
      </w:r>
      <w:r>
        <w:rPr>
          <w:rFonts w:ascii="Arial" w:hAnsi="Arial" w:cs="Arial"/>
          <w:color w:val="000000"/>
          <w:sz w:val="20"/>
          <w:szCs w:val="20"/>
        </w:rPr>
        <w:t>,</w:t>
      </w:r>
      <w:r w:rsidRPr="00FE1BAC">
        <w:rPr>
          <w:rFonts w:ascii="Arial" w:hAnsi="Arial" w:cs="Arial"/>
          <w:color w:val="000000"/>
          <w:sz w:val="20"/>
          <w:szCs w:val="20"/>
        </w:rPr>
        <w:t xml:space="preserve"> je tudi eden od strateških ciljev Strategije Evropa 2020 in Nacionalnega reformnega programa Slovenije. Kazalnik kaže, kolikšen delež </w:t>
      </w:r>
      <w:r>
        <w:rPr>
          <w:rFonts w:ascii="Arial" w:hAnsi="Arial" w:cs="Arial"/>
          <w:color w:val="000000"/>
          <w:sz w:val="20"/>
          <w:szCs w:val="20"/>
        </w:rPr>
        <w:t xml:space="preserve">prebivalstva </w:t>
      </w:r>
      <w:r w:rsidRPr="00FE1BAC">
        <w:rPr>
          <w:rFonts w:ascii="Arial" w:hAnsi="Arial" w:cs="Arial"/>
          <w:color w:val="000000"/>
          <w:sz w:val="20"/>
          <w:szCs w:val="20"/>
        </w:rPr>
        <w:t>od potencialno možnih zaposlenih v starosti od 20–64 let je dejansko zaposlen. Vir podatkov za izračun kazalnika na regionalni ravni je Statistični register delovno aktivnega prebivalstva.</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9F3EC4">
      <w:pPr>
        <w:spacing w:after="0" w:line="240" w:lineRule="auto"/>
        <w:jc w:val="both"/>
        <w:rPr>
          <w:rFonts w:ascii="Arial" w:hAnsi="Arial" w:cs="Arial"/>
          <w:color w:val="000000"/>
          <w:sz w:val="20"/>
          <w:szCs w:val="20"/>
        </w:rPr>
      </w:pPr>
      <w:r w:rsidRPr="00FE1BAC">
        <w:rPr>
          <w:rFonts w:ascii="Arial" w:hAnsi="Arial" w:cs="Arial"/>
          <w:color w:val="000000"/>
          <w:sz w:val="20"/>
          <w:szCs w:val="20"/>
        </w:rPr>
        <w:t>Podatki za kazalnik so na voljo mesečno z zamikom dveh mesecev. Zadnji podatek na letni ravni pa je na voljo za leto 2012.</w:t>
      </w:r>
    </w:p>
    <w:p w:rsidR="00190A8F" w:rsidRDefault="00190A8F" w:rsidP="005951FE">
      <w:pPr>
        <w:spacing w:after="0" w:line="240" w:lineRule="auto"/>
        <w:jc w:val="both"/>
        <w:rPr>
          <w:rFonts w:ascii="Arial" w:hAnsi="Arial" w:cs="Arial"/>
          <w:color w:val="000000"/>
          <w:sz w:val="20"/>
          <w:szCs w:val="20"/>
        </w:rPr>
      </w:pPr>
    </w:p>
    <w:p w:rsidR="00547D8F" w:rsidRDefault="00547D8F" w:rsidP="005951FE">
      <w:pPr>
        <w:spacing w:after="0" w:line="240" w:lineRule="auto"/>
        <w:jc w:val="both"/>
        <w:rPr>
          <w:rFonts w:ascii="Arial" w:hAnsi="Arial" w:cs="Arial"/>
          <w:color w:val="000000"/>
          <w:sz w:val="20"/>
          <w:szCs w:val="20"/>
        </w:rPr>
      </w:pPr>
    </w:p>
    <w:p w:rsidR="00547D8F" w:rsidRPr="00FE1BAC" w:rsidRDefault="00547D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lastRenderedPageBreak/>
        <w:t xml:space="preserve">Delež prebivalstva s terciarno izobrazbo </w:t>
      </w:r>
      <w:r>
        <w:rPr>
          <w:rFonts w:ascii="Arial" w:hAnsi="Arial" w:cs="Arial"/>
          <w:b/>
          <w:color w:val="000000"/>
          <w:sz w:val="20"/>
          <w:szCs w:val="20"/>
        </w:rPr>
        <w:t>v starosti</w:t>
      </w:r>
      <w:r w:rsidRPr="00FE1BAC">
        <w:rPr>
          <w:rFonts w:ascii="Arial" w:hAnsi="Arial" w:cs="Arial"/>
          <w:b/>
          <w:color w:val="000000"/>
          <w:sz w:val="20"/>
          <w:szCs w:val="20"/>
        </w:rPr>
        <w:t xml:space="preserve"> 25–64 let</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3B7F2C">
      <w:pPr>
        <w:spacing w:after="0" w:line="240" w:lineRule="auto"/>
        <w:jc w:val="both"/>
        <w:rPr>
          <w:rFonts w:ascii="Arial" w:hAnsi="Arial" w:cs="Arial"/>
          <w:color w:val="000000"/>
          <w:sz w:val="20"/>
          <w:szCs w:val="20"/>
        </w:rPr>
      </w:pPr>
      <w:r w:rsidRPr="00FE1BAC">
        <w:rPr>
          <w:rFonts w:ascii="Arial" w:hAnsi="Arial" w:cs="Arial"/>
          <w:color w:val="000000"/>
          <w:sz w:val="20"/>
          <w:szCs w:val="20"/>
        </w:rPr>
        <w:t>Povezanost znanja in izobraževanja z gospodarsko rastjo in razvojem je močna in pozitivna. Izobrazbena raven prebivalstva se v Sloveniji postopoma povečuje. Skoraj polovica 19–24-letnikov je vključena v višješolsko ali visokošolsko izobraževanje in cilj Slovenije je, da ta delež poveča na 75 % do leta 2020. Poleg vključenosti prebivalstva v terciarno izobraževanje pa je pomembno predvsem</w:t>
      </w:r>
      <w:r>
        <w:rPr>
          <w:rFonts w:ascii="Arial" w:hAnsi="Arial" w:cs="Arial"/>
          <w:color w:val="000000"/>
          <w:sz w:val="20"/>
          <w:szCs w:val="20"/>
        </w:rPr>
        <w:t xml:space="preserve"> to</w:t>
      </w:r>
      <w:r w:rsidRPr="00FE1BAC">
        <w:rPr>
          <w:rFonts w:ascii="Arial" w:hAnsi="Arial" w:cs="Arial"/>
          <w:color w:val="000000"/>
          <w:sz w:val="20"/>
          <w:szCs w:val="20"/>
        </w:rPr>
        <w:t xml:space="preserve">, </w:t>
      </w:r>
      <w:r>
        <w:rPr>
          <w:rFonts w:ascii="Arial" w:hAnsi="Arial" w:cs="Arial"/>
          <w:color w:val="000000"/>
          <w:sz w:val="20"/>
          <w:szCs w:val="20"/>
        </w:rPr>
        <w:t>kolikšen</w:t>
      </w:r>
      <w:r w:rsidRPr="00FE1BAC">
        <w:rPr>
          <w:rFonts w:ascii="Arial" w:hAnsi="Arial" w:cs="Arial"/>
          <w:color w:val="000000"/>
          <w:sz w:val="20"/>
          <w:szCs w:val="20"/>
        </w:rPr>
        <w:t xml:space="preserve"> delež prebivalstva terciarno izobraževanje tudi zaključi. Zato smo v izračun indeksa razvojne ogroženosti vključili kazalnik delež prebivalstva s terciarno izobrazbo v starosti 25–64 let, torej starosti</w:t>
      </w:r>
      <w:r>
        <w:rPr>
          <w:rFonts w:ascii="Arial" w:hAnsi="Arial" w:cs="Arial"/>
          <w:color w:val="000000"/>
          <w:sz w:val="20"/>
          <w:szCs w:val="20"/>
        </w:rPr>
        <w:t>,</w:t>
      </w:r>
      <w:r w:rsidRPr="00FE1BAC">
        <w:rPr>
          <w:rFonts w:ascii="Arial" w:hAnsi="Arial" w:cs="Arial"/>
          <w:color w:val="000000"/>
          <w:sz w:val="20"/>
          <w:szCs w:val="20"/>
        </w:rPr>
        <w:t xml:space="preserve"> v kateri bi prebivalstvo, vključeno v terciarno izobraževanje, le-to večinoma že zaključilo.</w:t>
      </w:r>
    </w:p>
    <w:p w:rsidR="00190A8F" w:rsidRPr="00FE1BAC" w:rsidRDefault="00190A8F" w:rsidP="003B7F2C">
      <w:pPr>
        <w:spacing w:after="0" w:line="240" w:lineRule="auto"/>
        <w:jc w:val="both"/>
        <w:rPr>
          <w:rFonts w:ascii="Arial" w:hAnsi="Arial" w:cs="Arial"/>
          <w:color w:val="000000"/>
          <w:sz w:val="20"/>
          <w:szCs w:val="20"/>
        </w:rPr>
      </w:pPr>
    </w:p>
    <w:p w:rsidR="00190A8F" w:rsidRPr="00FE1BAC" w:rsidRDefault="00190A8F" w:rsidP="003B7F2C">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Viri za izračun kazalnika so registrski. Kazalnik je na voljo na letni ravni z enoletnim zamikom, vendar šele od leta 2011 </w:t>
      </w:r>
      <w:r>
        <w:rPr>
          <w:rFonts w:ascii="Arial" w:hAnsi="Arial" w:cs="Arial"/>
          <w:color w:val="000000"/>
          <w:sz w:val="20"/>
          <w:szCs w:val="20"/>
        </w:rPr>
        <w:t>naprej</w:t>
      </w:r>
      <w:r w:rsidRPr="00FE1BAC">
        <w:rPr>
          <w:rFonts w:ascii="Arial" w:hAnsi="Arial" w:cs="Arial"/>
          <w:color w:val="000000"/>
          <w:sz w:val="20"/>
          <w:szCs w:val="20"/>
        </w:rPr>
        <w:t>.</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t>Delež bruto domačih izdatkov za raziskovalno in razvojno dejavnost v bruto domačem proizvodu</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DD5128">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Tudi za področje raziskovalno-razvojne dejavnosti je znana in empirično dokazana vzročno-posledična zveza med vlaganji v raziskave in razvoj </w:t>
      </w:r>
      <w:r>
        <w:rPr>
          <w:rFonts w:ascii="Arial" w:hAnsi="Arial" w:cs="Arial"/>
          <w:color w:val="000000"/>
          <w:sz w:val="20"/>
          <w:szCs w:val="20"/>
        </w:rPr>
        <w:t>ter</w:t>
      </w:r>
      <w:r w:rsidRPr="00FE1BAC">
        <w:rPr>
          <w:rFonts w:ascii="Arial" w:hAnsi="Arial" w:cs="Arial"/>
          <w:color w:val="000000"/>
          <w:sz w:val="20"/>
          <w:szCs w:val="20"/>
        </w:rPr>
        <w:t xml:space="preserve"> rastjo produktivnosti dela. Bruto domači izdatki za raziskovalno in razvojno dejavnost (BIRR) v skladu </w:t>
      </w:r>
      <w:r>
        <w:rPr>
          <w:rFonts w:ascii="Arial" w:hAnsi="Arial" w:cs="Arial"/>
          <w:color w:val="000000"/>
          <w:sz w:val="20"/>
          <w:szCs w:val="20"/>
        </w:rPr>
        <w:t>z metodologijo</w:t>
      </w:r>
      <w:r w:rsidRPr="00FE1BAC">
        <w:rPr>
          <w:rFonts w:ascii="Arial" w:hAnsi="Arial" w:cs="Arial"/>
          <w:color w:val="000000"/>
          <w:sz w:val="20"/>
          <w:szCs w:val="20"/>
        </w:rPr>
        <w:t xml:space="preserve"> </w:t>
      </w:r>
      <w:proofErr w:type="spellStart"/>
      <w:r w:rsidRPr="00FE1BAC">
        <w:rPr>
          <w:rFonts w:ascii="Arial" w:hAnsi="Arial" w:cs="Arial"/>
          <w:color w:val="000000"/>
          <w:sz w:val="20"/>
          <w:szCs w:val="20"/>
        </w:rPr>
        <w:t>Frascati</w:t>
      </w:r>
      <w:proofErr w:type="spellEnd"/>
      <w:r w:rsidRPr="00FE1BAC">
        <w:rPr>
          <w:rFonts w:ascii="Arial" w:hAnsi="Arial" w:cs="Arial"/>
          <w:color w:val="000000"/>
          <w:sz w:val="20"/>
          <w:szCs w:val="20"/>
        </w:rPr>
        <w:t xml:space="preserve"> vključujejo poslovni, državni, visokošolski ter zasebni nepridobitni sektor. Pri razvrščanju z vidika finančnih prilivov in odlivov pa je vključen še peti sektor, to je tujina.</w:t>
      </w:r>
    </w:p>
    <w:p w:rsidR="00190A8F" w:rsidRPr="00FE1BAC" w:rsidRDefault="00190A8F" w:rsidP="00DD5128">
      <w:pPr>
        <w:spacing w:after="0" w:line="240" w:lineRule="auto"/>
        <w:jc w:val="both"/>
        <w:rPr>
          <w:rFonts w:ascii="Arial" w:hAnsi="Arial" w:cs="Arial"/>
          <w:color w:val="000000"/>
          <w:sz w:val="20"/>
          <w:szCs w:val="20"/>
        </w:rPr>
      </w:pPr>
    </w:p>
    <w:p w:rsidR="00190A8F" w:rsidRPr="00FE1BAC" w:rsidRDefault="00190A8F" w:rsidP="00DD5128">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Kazalnik je mednarodno primerljiv (eden redkih na regionalni ravni) in vključen v spremljanje uresničevanja Strategije razvoja Slovenije (2005–2013). Obenem je tudi eden od kazalnikov indeksa Evropa 2020 za spremljanje Strategije 2020. Zato smo kazalnik vključili v izbor za izračun indeksa razvojne ogroženosti. </w:t>
      </w:r>
    </w:p>
    <w:p w:rsidR="00190A8F" w:rsidRPr="00FE1BAC" w:rsidRDefault="00190A8F" w:rsidP="00154424">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Podatki za kazalnik so na voljo letno z dvoletnim zamikom. Zadnji razpoložljiv</w:t>
      </w:r>
      <w:r>
        <w:rPr>
          <w:rFonts w:ascii="Arial" w:hAnsi="Arial" w:cs="Arial"/>
          <w:color w:val="000000"/>
          <w:sz w:val="20"/>
          <w:szCs w:val="20"/>
        </w:rPr>
        <w:t>i</w:t>
      </w:r>
      <w:r w:rsidRPr="00FE1BAC">
        <w:rPr>
          <w:rFonts w:ascii="Arial" w:hAnsi="Arial" w:cs="Arial"/>
          <w:color w:val="000000"/>
          <w:sz w:val="20"/>
          <w:szCs w:val="20"/>
        </w:rPr>
        <w:t xml:space="preserve"> podatek je za leto 2011.</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4F11E6">
      <w:pPr>
        <w:spacing w:after="0" w:line="240" w:lineRule="auto"/>
        <w:jc w:val="both"/>
        <w:rPr>
          <w:rFonts w:ascii="Arial" w:hAnsi="Arial" w:cs="Arial"/>
          <w:b/>
          <w:color w:val="000000"/>
          <w:sz w:val="20"/>
          <w:szCs w:val="20"/>
        </w:rPr>
      </w:pPr>
      <w:r w:rsidRPr="00FE1BAC">
        <w:rPr>
          <w:rFonts w:ascii="Arial" w:hAnsi="Arial" w:cs="Arial"/>
          <w:b/>
          <w:color w:val="000000"/>
          <w:sz w:val="20"/>
          <w:szCs w:val="20"/>
        </w:rPr>
        <w:t>Delež prečiščene odpadne vode z vsaj sekundarnim čiščenjem v izpuščeni odpadni vodi (2012)</w:t>
      </w:r>
    </w:p>
    <w:p w:rsidR="00190A8F" w:rsidRPr="00FE1BAC" w:rsidRDefault="00190A8F" w:rsidP="004F11E6">
      <w:pPr>
        <w:spacing w:after="0" w:line="240" w:lineRule="auto"/>
        <w:jc w:val="both"/>
        <w:rPr>
          <w:rFonts w:ascii="Arial" w:hAnsi="Arial" w:cs="Arial"/>
          <w:color w:val="000000"/>
          <w:sz w:val="20"/>
          <w:szCs w:val="20"/>
        </w:rPr>
      </w:pPr>
    </w:p>
    <w:p w:rsidR="00190A8F" w:rsidRPr="00FE1BAC" w:rsidRDefault="00190A8F" w:rsidP="00F04D79">
      <w:pPr>
        <w:spacing w:after="0" w:line="240" w:lineRule="auto"/>
        <w:jc w:val="both"/>
        <w:rPr>
          <w:rFonts w:ascii="Arial" w:hAnsi="Arial" w:cs="Arial"/>
          <w:color w:val="000000"/>
          <w:sz w:val="20"/>
          <w:szCs w:val="20"/>
        </w:rPr>
      </w:pPr>
      <w:r w:rsidRPr="00FE1BAC">
        <w:rPr>
          <w:rFonts w:ascii="Arial" w:hAnsi="Arial" w:cs="Arial"/>
          <w:color w:val="000000"/>
          <w:sz w:val="20"/>
          <w:szCs w:val="20"/>
        </w:rPr>
        <w:t>Na področju okolja imamo na regionalni ravni zelo omejene podatkovne vire, zato je bil izbor kazalnikov pretežn</w:t>
      </w:r>
      <w:r>
        <w:rPr>
          <w:rFonts w:ascii="Arial" w:hAnsi="Arial" w:cs="Arial"/>
          <w:color w:val="000000"/>
          <w:sz w:val="20"/>
          <w:szCs w:val="20"/>
        </w:rPr>
        <w:t>o</w:t>
      </w:r>
      <w:r w:rsidRPr="00FE1BAC">
        <w:rPr>
          <w:rFonts w:ascii="Arial" w:hAnsi="Arial" w:cs="Arial"/>
          <w:color w:val="000000"/>
          <w:sz w:val="20"/>
          <w:szCs w:val="20"/>
        </w:rPr>
        <w:t xml:space="preserve"> vezan na razpoložljivost podatkov. Slovenija je sicer bogata z vodnimi viri, saj ima precej veliko letnih padavin, vendar so te v letu neenakomerno razporejene. Tako se vsako leto v poletnih mesecih srečujemo z večjim ali manjšim pomanjkanjem vode v tleh. Zato je zelo pomembno čiščenje odpadnih voda. Odpadno vodo lahko čistimo s primarnim čiščenjem (mehanski ali kemični postopki, s katerimi se odstrani le manjši del organskih obremenitev), sekundarnim čiščenjem (večinoma biološki postopki</w:t>
      </w:r>
      <w:r>
        <w:rPr>
          <w:rFonts w:ascii="Arial" w:hAnsi="Arial" w:cs="Arial"/>
          <w:color w:val="000000"/>
          <w:sz w:val="20"/>
          <w:szCs w:val="20"/>
        </w:rPr>
        <w:t>,</w:t>
      </w:r>
      <w:r w:rsidRPr="00FE1BAC">
        <w:rPr>
          <w:rFonts w:ascii="Arial" w:hAnsi="Arial" w:cs="Arial"/>
          <w:color w:val="000000"/>
          <w:sz w:val="20"/>
          <w:szCs w:val="20"/>
        </w:rPr>
        <w:t xml:space="preserve"> s katerimi se odstrani pretežni del obremenitev z organskimi snovmi) in terciarnim čiščenjem (postopki</w:t>
      </w:r>
      <w:r>
        <w:rPr>
          <w:rFonts w:ascii="Arial" w:hAnsi="Arial" w:cs="Arial"/>
          <w:color w:val="000000"/>
          <w:sz w:val="20"/>
          <w:szCs w:val="20"/>
        </w:rPr>
        <w:t>,</w:t>
      </w:r>
      <w:r w:rsidRPr="00FE1BAC">
        <w:rPr>
          <w:rFonts w:ascii="Arial" w:hAnsi="Arial" w:cs="Arial"/>
          <w:color w:val="000000"/>
          <w:sz w:val="20"/>
          <w:szCs w:val="20"/>
        </w:rPr>
        <w:t xml:space="preserve"> s katerimi se poleg organskih obremenitev odstrani pretežni del obremenitve s hranili). V zadnjih letih se s postopki primarnega čiščenja očisti vse manj vode, čedalje več pa se je prečisti s postopki sekundarnega in terciarnega čiščenja, zato je kazalnik delež prečiščene odpadne vode z vsaj sekundarnim čiščenjem v izpuščeni odpadni vodi vključen v izbor kazalnikov za izračun indeksa razvojne ogroženosti regij. Podoben kazalnik (delež prebivalstva</w:t>
      </w:r>
      <w:r>
        <w:rPr>
          <w:rFonts w:ascii="Arial" w:hAnsi="Arial" w:cs="Arial"/>
          <w:color w:val="000000"/>
          <w:sz w:val="20"/>
          <w:szCs w:val="20"/>
        </w:rPr>
        <w:t>,</w:t>
      </w:r>
      <w:r w:rsidRPr="00FE1BAC">
        <w:rPr>
          <w:rFonts w:ascii="Arial" w:hAnsi="Arial" w:cs="Arial"/>
          <w:color w:val="000000"/>
          <w:sz w:val="20"/>
          <w:szCs w:val="20"/>
        </w:rPr>
        <w:t xml:space="preserve"> priključenega na čiščenje odpadnih voda z vsaj sekundarnim čiščenjem) se uporablja tudi za spremljanje trajnostnega razvoja v EU, ki pa je za Slovenijo na voljo le na nacionalni ravni.</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color w:val="000000"/>
          <w:sz w:val="20"/>
          <w:szCs w:val="20"/>
        </w:rPr>
        <w:t>Zaradi spremenjene metodologije je kazalnik na voljo le za leto 2012, v prihodnje pa bo na voljo na letni ravni.</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t>Delež površine zavarovanih območij v regiji</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471C02">
      <w:pPr>
        <w:spacing w:after="0" w:line="240" w:lineRule="auto"/>
        <w:jc w:val="both"/>
        <w:rPr>
          <w:rFonts w:ascii="Arial" w:hAnsi="Arial" w:cs="Arial"/>
          <w:color w:val="000000"/>
          <w:sz w:val="20"/>
          <w:szCs w:val="20"/>
        </w:rPr>
      </w:pPr>
      <w:r w:rsidRPr="00FE1BAC">
        <w:rPr>
          <w:rFonts w:ascii="Arial" w:hAnsi="Arial" w:cs="Arial"/>
          <w:color w:val="000000"/>
          <w:sz w:val="20"/>
          <w:szCs w:val="20"/>
        </w:rPr>
        <w:t>V izračun indeksa razvojne ogroženosti regij za obdobje 2007–2013 je bil vključen kazalnik delež</w:t>
      </w:r>
      <w:r>
        <w:rPr>
          <w:rFonts w:ascii="Arial" w:hAnsi="Arial" w:cs="Arial"/>
          <w:color w:val="000000"/>
          <w:sz w:val="20"/>
          <w:szCs w:val="20"/>
        </w:rPr>
        <w:t>a</w:t>
      </w:r>
      <w:r w:rsidRPr="00FE1BAC">
        <w:rPr>
          <w:rFonts w:ascii="Arial" w:hAnsi="Arial" w:cs="Arial"/>
          <w:color w:val="000000"/>
          <w:sz w:val="20"/>
          <w:szCs w:val="20"/>
        </w:rPr>
        <w:t xml:space="preserve"> območij </w:t>
      </w:r>
      <w:r>
        <w:rPr>
          <w:rFonts w:ascii="Arial" w:hAnsi="Arial" w:cs="Arial"/>
          <w:color w:val="000000"/>
          <w:sz w:val="20"/>
          <w:szCs w:val="20"/>
        </w:rPr>
        <w:t>N</w:t>
      </w:r>
      <w:r w:rsidRPr="00FE1BAC">
        <w:rPr>
          <w:rFonts w:ascii="Arial" w:hAnsi="Arial" w:cs="Arial"/>
          <w:color w:val="000000"/>
          <w:sz w:val="20"/>
          <w:szCs w:val="20"/>
        </w:rPr>
        <w:t>atura 2000 v regijah. Ker pa imamo poleg območij Natura 2000 tudi druga zavarovana območja, smo kazalnik razširili na vsa zavarovana območja v regiji. Zavarovana območja so po Zakonu o ohranjanju narave (ZON-UPB2, Ur</w:t>
      </w:r>
      <w:r>
        <w:rPr>
          <w:rFonts w:ascii="Arial" w:hAnsi="Arial" w:cs="Arial"/>
          <w:color w:val="000000"/>
          <w:sz w:val="20"/>
          <w:szCs w:val="20"/>
        </w:rPr>
        <w:t>adni list</w:t>
      </w:r>
      <w:r w:rsidRPr="00FE1BAC">
        <w:rPr>
          <w:rFonts w:ascii="Arial" w:hAnsi="Arial" w:cs="Arial"/>
          <w:color w:val="000000"/>
          <w:sz w:val="20"/>
          <w:szCs w:val="20"/>
        </w:rPr>
        <w:t xml:space="preserve"> RS, št. 96/2004) ožja zavarovana območja (naravni spomenik, strogi naravni rezervat in naravni rezervat) </w:t>
      </w:r>
      <w:r>
        <w:rPr>
          <w:rFonts w:ascii="Arial" w:hAnsi="Arial" w:cs="Arial"/>
          <w:color w:val="000000"/>
          <w:sz w:val="20"/>
          <w:szCs w:val="20"/>
        </w:rPr>
        <w:t>ter</w:t>
      </w:r>
      <w:r w:rsidRPr="00FE1BAC">
        <w:rPr>
          <w:rFonts w:ascii="Arial" w:hAnsi="Arial" w:cs="Arial"/>
          <w:color w:val="000000"/>
          <w:sz w:val="20"/>
          <w:szCs w:val="20"/>
        </w:rPr>
        <w:t xml:space="preserve"> širša zavarovana območja (narodni, regijski, krajinski park). </w:t>
      </w:r>
    </w:p>
    <w:p w:rsidR="00190A8F" w:rsidRPr="00FE1BAC" w:rsidRDefault="00190A8F" w:rsidP="00C967E8">
      <w:pPr>
        <w:spacing w:after="0" w:line="240" w:lineRule="auto"/>
        <w:jc w:val="both"/>
        <w:rPr>
          <w:rFonts w:ascii="Arial" w:hAnsi="Arial" w:cs="Arial"/>
          <w:color w:val="000000"/>
          <w:sz w:val="20"/>
          <w:szCs w:val="20"/>
        </w:rPr>
      </w:pPr>
    </w:p>
    <w:p w:rsidR="00190A8F" w:rsidRPr="00FE1BAC" w:rsidRDefault="00190A8F" w:rsidP="00C967E8">
      <w:pPr>
        <w:spacing w:after="0" w:line="240" w:lineRule="auto"/>
        <w:jc w:val="both"/>
        <w:rPr>
          <w:rFonts w:ascii="Arial" w:hAnsi="Arial" w:cs="Arial"/>
          <w:color w:val="000000"/>
          <w:sz w:val="20"/>
          <w:szCs w:val="20"/>
        </w:rPr>
      </w:pPr>
      <w:r w:rsidRPr="00FE1BAC">
        <w:rPr>
          <w:rFonts w:ascii="Arial" w:hAnsi="Arial" w:cs="Arial"/>
          <w:color w:val="000000"/>
          <w:sz w:val="20"/>
          <w:szCs w:val="20"/>
        </w:rPr>
        <w:lastRenderedPageBreak/>
        <w:t>Zavarovana območja predstavljajo razvojni potencial slovenskih regij</w:t>
      </w:r>
      <w:r>
        <w:rPr>
          <w:rFonts w:ascii="Arial" w:hAnsi="Arial" w:cs="Arial"/>
          <w:color w:val="000000"/>
          <w:sz w:val="20"/>
          <w:szCs w:val="20"/>
        </w:rPr>
        <w:t xml:space="preserve"> in</w:t>
      </w:r>
      <w:r w:rsidRPr="00FE1BAC">
        <w:rPr>
          <w:rFonts w:ascii="Arial" w:hAnsi="Arial" w:cs="Arial"/>
          <w:color w:val="000000"/>
          <w:sz w:val="20"/>
          <w:szCs w:val="20"/>
        </w:rPr>
        <w:t xml:space="preserve"> povečujejo privlačnost za razvoj dejavnosti, povezanih z viri, ki jih ta območja imajo</w:t>
      </w:r>
      <w:r>
        <w:rPr>
          <w:rFonts w:ascii="Arial" w:hAnsi="Arial" w:cs="Arial"/>
          <w:color w:val="000000"/>
          <w:sz w:val="20"/>
          <w:szCs w:val="20"/>
        </w:rPr>
        <w:t>, n</w:t>
      </w:r>
      <w:r w:rsidRPr="00FE1BAC">
        <w:rPr>
          <w:rFonts w:ascii="Arial" w:hAnsi="Arial" w:cs="Arial"/>
          <w:color w:val="000000"/>
          <w:sz w:val="20"/>
          <w:szCs w:val="20"/>
        </w:rPr>
        <w:t>a drugi strani pa prinašajo tudi omejitve. Za zavarovana območja smo upoštevali, da le-te prevladajo nad razvojnim potencialom.</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spacing w:after="0" w:line="240" w:lineRule="auto"/>
        <w:jc w:val="both"/>
        <w:rPr>
          <w:rFonts w:ascii="Arial" w:hAnsi="Arial" w:cs="Arial"/>
          <w:color w:val="000000"/>
          <w:sz w:val="20"/>
          <w:szCs w:val="20"/>
        </w:rPr>
      </w:pPr>
      <w:r w:rsidRPr="00FE1BAC">
        <w:rPr>
          <w:rFonts w:ascii="Arial" w:hAnsi="Arial" w:cs="Arial"/>
          <w:color w:val="000000"/>
          <w:sz w:val="20"/>
          <w:szCs w:val="20"/>
        </w:rPr>
        <w:t>Zadnji razpoložljivi podatki so za leto 2013.</w:t>
      </w:r>
    </w:p>
    <w:p w:rsidR="00190A8F" w:rsidRPr="00FE1BAC" w:rsidRDefault="00190A8F" w:rsidP="005951FE">
      <w:pPr>
        <w:spacing w:after="0" w:line="240" w:lineRule="auto"/>
        <w:jc w:val="both"/>
        <w:rPr>
          <w:rFonts w:ascii="Arial" w:hAnsi="Arial" w:cs="Arial"/>
          <w:b/>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b/>
          <w:color w:val="000000"/>
          <w:sz w:val="20"/>
          <w:szCs w:val="20"/>
        </w:rPr>
        <w:t>Delež ocenjene škode zaradi elementarnih nesreč v bruto domačem proizvodu</w:t>
      </w:r>
    </w:p>
    <w:p w:rsidR="00190A8F" w:rsidRPr="00FE1BAC" w:rsidRDefault="00190A8F" w:rsidP="005951FE">
      <w:pPr>
        <w:spacing w:after="0" w:line="240" w:lineRule="auto"/>
        <w:jc w:val="both"/>
        <w:rPr>
          <w:rFonts w:ascii="Arial" w:hAnsi="Arial" w:cs="Arial"/>
          <w:color w:val="000000"/>
          <w:sz w:val="20"/>
          <w:szCs w:val="20"/>
          <w:lang w:eastAsia="sl-SI"/>
        </w:rPr>
      </w:pPr>
    </w:p>
    <w:p w:rsidR="00190A8F" w:rsidRPr="00FE1BAC" w:rsidRDefault="00190A8F" w:rsidP="001C5BED">
      <w:pPr>
        <w:spacing w:after="0" w:line="240" w:lineRule="auto"/>
        <w:jc w:val="both"/>
        <w:rPr>
          <w:rFonts w:ascii="Arial" w:hAnsi="Arial" w:cs="Arial"/>
          <w:color w:val="000000"/>
          <w:sz w:val="20"/>
          <w:szCs w:val="20"/>
        </w:rPr>
      </w:pPr>
      <w:r w:rsidRPr="00FE1BAC">
        <w:rPr>
          <w:rFonts w:ascii="Arial" w:hAnsi="Arial" w:cs="Arial"/>
          <w:color w:val="000000"/>
          <w:sz w:val="20"/>
          <w:szCs w:val="20"/>
        </w:rPr>
        <w:t>Kazalnik prikazuje ocenjeno škodo po elementarnih nesrečah v skladu s predpisano metodologijo (Uredba o spremembah in dopolnitvah Uredbe o metodologiji za ocenjevanje škode, Ur</w:t>
      </w:r>
      <w:r>
        <w:rPr>
          <w:rFonts w:ascii="Arial" w:hAnsi="Arial" w:cs="Arial"/>
          <w:color w:val="000000"/>
          <w:sz w:val="20"/>
          <w:szCs w:val="20"/>
        </w:rPr>
        <w:t>adni</w:t>
      </w:r>
      <w:r w:rsidRPr="00FE1BAC">
        <w:rPr>
          <w:rFonts w:ascii="Arial" w:hAnsi="Arial" w:cs="Arial"/>
          <w:color w:val="000000"/>
          <w:sz w:val="20"/>
          <w:szCs w:val="20"/>
        </w:rPr>
        <w:t xml:space="preserve"> list RS, št. 68/2008). Podatki so pridobljeni </w:t>
      </w:r>
      <w:r>
        <w:rPr>
          <w:rFonts w:ascii="Arial" w:hAnsi="Arial" w:cs="Arial"/>
          <w:color w:val="000000"/>
          <w:sz w:val="20"/>
          <w:szCs w:val="20"/>
        </w:rPr>
        <w:t>z</w:t>
      </w:r>
      <w:r w:rsidRPr="00FE1BAC">
        <w:rPr>
          <w:rFonts w:ascii="Arial" w:hAnsi="Arial" w:cs="Arial"/>
          <w:color w:val="000000"/>
          <w:sz w:val="20"/>
          <w:szCs w:val="20"/>
        </w:rPr>
        <w:t xml:space="preserve"> aplikacij</w:t>
      </w:r>
      <w:r>
        <w:rPr>
          <w:rFonts w:ascii="Arial" w:hAnsi="Arial" w:cs="Arial"/>
          <w:color w:val="000000"/>
          <w:sz w:val="20"/>
          <w:szCs w:val="20"/>
        </w:rPr>
        <w:t>o</w:t>
      </w:r>
      <w:r w:rsidRPr="00FE1BAC">
        <w:rPr>
          <w:rFonts w:ascii="Arial" w:hAnsi="Arial" w:cs="Arial"/>
          <w:color w:val="000000"/>
          <w:sz w:val="20"/>
          <w:szCs w:val="20"/>
        </w:rPr>
        <w:t xml:space="preserve"> AJDA Uprave RS  za zaščito in reševanje. Elementarne nesreče so nesreče, ki so posledica naravnega pojava (potres, poplava, požar, suša, neurje, toča, pozeba, žled, drsenje tal in snega, epidemija nalezljive bolezni pri ljudeh, epizootija, bolezni škodljivcev, ekološke nesreče itd.) ter človekovega delovanja in ravnanja oziroma, ki se zgodijo, ko različni dogodki pri opravljanju </w:t>
      </w:r>
      <w:r>
        <w:rPr>
          <w:rFonts w:ascii="Arial" w:hAnsi="Arial" w:cs="Arial"/>
          <w:color w:val="000000"/>
          <w:sz w:val="20"/>
          <w:szCs w:val="20"/>
        </w:rPr>
        <w:t>neke</w:t>
      </w:r>
      <w:r w:rsidRPr="00FE1BAC">
        <w:rPr>
          <w:rFonts w:ascii="Arial" w:hAnsi="Arial" w:cs="Arial"/>
          <w:color w:val="000000"/>
          <w:sz w:val="20"/>
          <w:szCs w:val="20"/>
        </w:rPr>
        <w:t xml:space="preserve"> dejavnosti ali upravljanju sredstev za delo ter ravnanju z nevarnimi snovmi uidejo nadzoru in posledično ogrozijo življenje ali zdravje ljudi, živali, premoženj</w:t>
      </w:r>
      <w:r>
        <w:rPr>
          <w:rFonts w:ascii="Arial" w:hAnsi="Arial" w:cs="Arial"/>
          <w:color w:val="000000"/>
          <w:sz w:val="20"/>
          <w:szCs w:val="20"/>
        </w:rPr>
        <w:t>a</w:t>
      </w:r>
      <w:r w:rsidRPr="00FE1BAC">
        <w:rPr>
          <w:rFonts w:ascii="Arial" w:hAnsi="Arial" w:cs="Arial"/>
          <w:color w:val="000000"/>
          <w:sz w:val="20"/>
          <w:szCs w:val="20"/>
        </w:rPr>
        <w:t>, kulturno dediščino ter okolje.</w:t>
      </w:r>
      <w:r w:rsidRPr="00FE1BAC" w:rsidDel="000F2D0D">
        <w:rPr>
          <w:rFonts w:ascii="Arial" w:hAnsi="Arial" w:cs="Arial"/>
          <w:color w:val="000000"/>
          <w:sz w:val="20"/>
          <w:szCs w:val="20"/>
        </w:rPr>
        <w:t xml:space="preserve"> </w:t>
      </w:r>
      <w:r w:rsidRPr="00FE1BAC">
        <w:rPr>
          <w:rFonts w:ascii="Arial" w:hAnsi="Arial" w:cs="Arial"/>
          <w:color w:val="000000"/>
          <w:sz w:val="20"/>
          <w:szCs w:val="20"/>
        </w:rPr>
        <w:t>Večina elementarnih nesreč v Sloveniji je bila posledica naravnega pojava. Tveganja glede naravnih nesreč so tudi v prihodnje vse večja zaradi podnebnih sprememb in temu neprilagojenega delovanja človeka.</w:t>
      </w:r>
      <w:bookmarkStart w:id="0" w:name="_GoBack"/>
      <w:bookmarkEnd w:id="0"/>
    </w:p>
    <w:p w:rsidR="00190A8F" w:rsidRPr="00FE1BAC" w:rsidRDefault="00190A8F" w:rsidP="001C5BED">
      <w:pPr>
        <w:spacing w:after="0" w:line="240" w:lineRule="auto"/>
        <w:jc w:val="both"/>
        <w:rPr>
          <w:rFonts w:ascii="Arial" w:hAnsi="Arial" w:cs="Arial"/>
          <w:color w:val="000000"/>
          <w:sz w:val="20"/>
          <w:szCs w:val="20"/>
        </w:rPr>
      </w:pPr>
    </w:p>
    <w:p w:rsidR="00190A8F" w:rsidRPr="00FE1BAC" w:rsidRDefault="00190A8F" w:rsidP="001C5BED">
      <w:pPr>
        <w:spacing w:after="0" w:line="240" w:lineRule="auto"/>
        <w:jc w:val="both"/>
        <w:rPr>
          <w:rFonts w:ascii="Arial" w:hAnsi="Arial" w:cs="Arial"/>
          <w:color w:val="000000"/>
          <w:sz w:val="20"/>
          <w:szCs w:val="20"/>
        </w:rPr>
      </w:pPr>
      <w:r w:rsidRPr="00FE1BAC">
        <w:rPr>
          <w:rFonts w:ascii="Arial" w:hAnsi="Arial" w:cs="Arial"/>
          <w:color w:val="000000"/>
          <w:sz w:val="20"/>
          <w:szCs w:val="20"/>
        </w:rPr>
        <w:t>Vir podatkov za kazalnik je aplikacija AJDA Uprave RS za zaščito in reševanje. Zaradi spremenjene metodologije so primerlji</w:t>
      </w:r>
      <w:r w:rsidR="003F2C3C">
        <w:rPr>
          <w:rFonts w:ascii="Arial" w:hAnsi="Arial" w:cs="Arial"/>
          <w:color w:val="000000"/>
          <w:sz w:val="20"/>
          <w:szCs w:val="20"/>
        </w:rPr>
        <w:t>vi podatki na voljo od leta 2009</w:t>
      </w:r>
      <w:r w:rsidRPr="00FE1BAC">
        <w:rPr>
          <w:rFonts w:ascii="Arial" w:hAnsi="Arial" w:cs="Arial"/>
          <w:color w:val="000000"/>
          <w:sz w:val="20"/>
          <w:szCs w:val="20"/>
        </w:rPr>
        <w:t>. Podatki so na letni ravni.</w:t>
      </w:r>
    </w:p>
    <w:p w:rsidR="00190A8F" w:rsidRPr="00FE1BAC" w:rsidRDefault="00190A8F" w:rsidP="00154424">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b/>
          <w:color w:val="000000"/>
          <w:sz w:val="20"/>
          <w:szCs w:val="20"/>
        </w:rPr>
      </w:pPr>
      <w:r w:rsidRPr="00FE1BAC">
        <w:rPr>
          <w:rFonts w:ascii="Arial" w:hAnsi="Arial" w:cs="Arial"/>
          <w:b/>
          <w:color w:val="000000"/>
          <w:sz w:val="20"/>
          <w:szCs w:val="20"/>
        </w:rPr>
        <w:t>Stopnja registrirane brezposelnosti</w:t>
      </w:r>
    </w:p>
    <w:p w:rsidR="00190A8F" w:rsidRPr="00FE1BAC" w:rsidRDefault="00190A8F" w:rsidP="00154424">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Stopnja registrirane brezposelnosti je skupaj z BDP na prebivalca eden najbolj razširjenih kazalnikov za prikazovanje (ne)razvitosti na regionalni ravni in obenem eden osnovnih kazalnikov trga dela. Na drugi strani pa je to tudi kazalnik, ki močno vpliva na blaginjo prebivalstva in socialno izključenost. Kazalnik prikazujemo kot odstotni delež registriranih brezposelnih oseb med registriranim aktivnim prebivalstvom (registrirani delovno aktivni in registrirani brezposelni). Vir podatkov za ta izračun je Statistični register delovno aktivnega prebivalstva. </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Podatki za kazalnik so na voljo mesečno z zamikom dveh mesecev. Zadnji razpoložljivi letni podatek za stopnjo registrirane brezposelnosti je za leto 2012.</w:t>
      </w:r>
    </w:p>
    <w:p w:rsidR="00190A8F" w:rsidRPr="00FE1BAC" w:rsidRDefault="00190A8F" w:rsidP="00154424">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b/>
          <w:color w:val="000000"/>
          <w:sz w:val="20"/>
          <w:szCs w:val="20"/>
        </w:rPr>
      </w:pPr>
      <w:r w:rsidRPr="00FE1BAC">
        <w:rPr>
          <w:rFonts w:ascii="Arial" w:hAnsi="Arial" w:cs="Arial"/>
          <w:b/>
          <w:color w:val="000000"/>
          <w:sz w:val="20"/>
          <w:szCs w:val="20"/>
        </w:rPr>
        <w:t xml:space="preserve">Indeks staranja prebivalstva </w:t>
      </w:r>
    </w:p>
    <w:p w:rsidR="00190A8F" w:rsidRPr="00FE1BAC" w:rsidRDefault="00190A8F" w:rsidP="00154424">
      <w:pPr>
        <w:spacing w:after="0" w:line="240" w:lineRule="auto"/>
        <w:jc w:val="both"/>
        <w:rPr>
          <w:rFonts w:ascii="Arial" w:hAnsi="Arial" w:cs="Arial"/>
          <w:b/>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 xml:space="preserve">Indeks staranja prebivalstva je kazalnik, ki kaže razmerje med starim in mladim prebivalstvom. Slovensko prebivalstvo se stara, saj je zaradi podaljševanja pričakovanega trajanja življenja in vse manjše rodnosti starega prebivalstva vedno več. To prinaša novo razsežnost tudi v razvoju regij, ki jo </w:t>
      </w:r>
      <w:r>
        <w:rPr>
          <w:rFonts w:ascii="Arial" w:hAnsi="Arial" w:cs="Arial"/>
          <w:color w:val="000000"/>
          <w:sz w:val="20"/>
          <w:szCs w:val="20"/>
        </w:rPr>
        <w:t>je</w:t>
      </w:r>
      <w:r w:rsidRPr="00FE1BAC">
        <w:rPr>
          <w:rFonts w:ascii="Arial" w:hAnsi="Arial" w:cs="Arial"/>
          <w:color w:val="000000"/>
          <w:sz w:val="20"/>
          <w:szCs w:val="20"/>
        </w:rPr>
        <w:t xml:space="preserve"> treba čedalje bolj upoštevati.</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Običajno se za kazalnike o prebivalstvu upošteva stanje na začetku leta. Zadnji razpoložljivi podatki po stanju z začetka leta so za leto 2013.</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b/>
          <w:color w:val="000000"/>
          <w:sz w:val="20"/>
          <w:szCs w:val="20"/>
        </w:rPr>
      </w:pPr>
      <w:r w:rsidRPr="00FE1BAC">
        <w:rPr>
          <w:rFonts w:ascii="Arial" w:hAnsi="Arial" w:cs="Arial"/>
          <w:b/>
          <w:color w:val="000000"/>
          <w:sz w:val="20"/>
          <w:szCs w:val="20"/>
        </w:rPr>
        <w:t>Skupni koeficient starostne odvisnosti prebivalstva</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b/>
          <w:color w:val="000000"/>
          <w:sz w:val="20"/>
          <w:szCs w:val="20"/>
        </w:rPr>
      </w:pPr>
      <w:r w:rsidRPr="00FE1BAC">
        <w:rPr>
          <w:rFonts w:ascii="Arial" w:hAnsi="Arial" w:cs="Arial"/>
          <w:color w:val="000000"/>
          <w:sz w:val="20"/>
          <w:szCs w:val="20"/>
        </w:rPr>
        <w:t>Skupni koeficient starostne odvisnosti kaže odvisnost otrok in starejših od  delovno sposobnih prebivalcev oz</w:t>
      </w:r>
      <w:r>
        <w:rPr>
          <w:rFonts w:ascii="Arial" w:hAnsi="Arial" w:cs="Arial"/>
          <w:color w:val="000000"/>
          <w:sz w:val="20"/>
          <w:szCs w:val="20"/>
        </w:rPr>
        <w:t>iroma</w:t>
      </w:r>
      <w:r w:rsidRPr="00FE1BAC">
        <w:rPr>
          <w:rFonts w:ascii="Arial" w:hAnsi="Arial" w:cs="Arial"/>
          <w:color w:val="000000"/>
          <w:sz w:val="20"/>
          <w:szCs w:val="20"/>
        </w:rPr>
        <w:t xml:space="preserve"> koliko otrok in starejših prebivalcev je odvisnih od 100 delovno sposobnih. Izračunan je kot razmerje med prebivalci v starosti 0–14 let in 65 ali več let v primerjavi s številom delovno sposobnih prebivalcev v starosti 15–64 let, pomnoženo s 100</w:t>
      </w:r>
      <w:r w:rsidRPr="00FE1BAC">
        <w:rPr>
          <w:rFonts w:ascii="Arial" w:hAnsi="Arial" w:cs="Arial"/>
          <w:b/>
          <w:color w:val="000000"/>
          <w:sz w:val="20"/>
          <w:szCs w:val="20"/>
        </w:rPr>
        <w:t>.</w:t>
      </w:r>
    </w:p>
    <w:p w:rsidR="00190A8F" w:rsidRPr="00FE1BAC" w:rsidRDefault="00190A8F" w:rsidP="00154424">
      <w:pPr>
        <w:spacing w:after="0" w:line="240" w:lineRule="auto"/>
        <w:jc w:val="both"/>
        <w:rPr>
          <w:rFonts w:ascii="Arial" w:hAnsi="Arial" w:cs="Arial"/>
          <w:color w:val="000000"/>
          <w:sz w:val="20"/>
          <w:szCs w:val="20"/>
        </w:rPr>
      </w:pPr>
    </w:p>
    <w:p w:rsidR="00190A8F" w:rsidRPr="00FE1BAC" w:rsidRDefault="00190A8F" w:rsidP="00154424">
      <w:pPr>
        <w:spacing w:after="0" w:line="240" w:lineRule="auto"/>
        <w:jc w:val="both"/>
        <w:rPr>
          <w:rFonts w:ascii="Arial" w:hAnsi="Arial" w:cs="Arial"/>
          <w:color w:val="000000"/>
          <w:sz w:val="20"/>
          <w:szCs w:val="20"/>
        </w:rPr>
      </w:pPr>
      <w:r w:rsidRPr="00FE1BAC">
        <w:rPr>
          <w:rFonts w:ascii="Arial" w:hAnsi="Arial" w:cs="Arial"/>
          <w:color w:val="000000"/>
          <w:sz w:val="20"/>
          <w:szCs w:val="20"/>
        </w:rPr>
        <w:t>Tudi za izračun tega kazalnika se upošteva</w:t>
      </w:r>
      <w:r>
        <w:rPr>
          <w:rFonts w:ascii="Arial" w:hAnsi="Arial" w:cs="Arial"/>
          <w:color w:val="000000"/>
          <w:sz w:val="20"/>
          <w:szCs w:val="20"/>
        </w:rPr>
        <w:t>jo</w:t>
      </w:r>
      <w:r w:rsidRPr="00FE1BAC">
        <w:rPr>
          <w:rFonts w:ascii="Arial" w:hAnsi="Arial" w:cs="Arial"/>
          <w:color w:val="000000"/>
          <w:sz w:val="20"/>
          <w:szCs w:val="20"/>
        </w:rPr>
        <w:t xml:space="preserve"> podatk</w:t>
      </w:r>
      <w:r>
        <w:rPr>
          <w:rFonts w:ascii="Arial" w:hAnsi="Arial" w:cs="Arial"/>
          <w:color w:val="000000"/>
          <w:sz w:val="20"/>
          <w:szCs w:val="20"/>
        </w:rPr>
        <w:t>i</w:t>
      </w:r>
      <w:r w:rsidRPr="00FE1BAC">
        <w:rPr>
          <w:rFonts w:ascii="Arial" w:hAnsi="Arial" w:cs="Arial"/>
          <w:color w:val="000000"/>
          <w:sz w:val="20"/>
          <w:szCs w:val="20"/>
        </w:rPr>
        <w:t xml:space="preserve"> po stanju na začetku leta. Zadnji razpoložljivi podatki po stanju z začetka leta so za leto 2013.</w:t>
      </w:r>
    </w:p>
    <w:p w:rsidR="00190A8F" w:rsidRPr="00FE1BAC" w:rsidRDefault="00190A8F" w:rsidP="00154424">
      <w:pPr>
        <w:spacing w:after="0" w:line="240" w:lineRule="auto"/>
        <w:jc w:val="both"/>
        <w:rPr>
          <w:rFonts w:ascii="Arial" w:hAnsi="Arial" w:cs="Arial"/>
          <w:b/>
          <w:color w:val="000000"/>
          <w:sz w:val="20"/>
          <w:szCs w:val="20"/>
        </w:rPr>
      </w:pPr>
    </w:p>
    <w:p w:rsidR="00547D8F" w:rsidRDefault="00547D8F">
      <w:pPr>
        <w:spacing w:after="0" w:line="240" w:lineRule="auto"/>
        <w:rPr>
          <w:rFonts w:ascii="Arial" w:hAnsi="Arial" w:cs="Arial"/>
          <w:b/>
          <w:color w:val="000000"/>
          <w:sz w:val="20"/>
          <w:szCs w:val="20"/>
        </w:rPr>
      </w:pPr>
      <w:r>
        <w:rPr>
          <w:rFonts w:ascii="Arial" w:hAnsi="Arial" w:cs="Arial"/>
          <w:b/>
          <w:color w:val="000000"/>
          <w:sz w:val="20"/>
          <w:szCs w:val="20"/>
        </w:rPr>
        <w:br w:type="page"/>
      </w:r>
    </w:p>
    <w:p w:rsidR="00190A8F" w:rsidRPr="00FE1BAC" w:rsidRDefault="00190A8F" w:rsidP="00C9331A">
      <w:pPr>
        <w:spacing w:after="0" w:line="240" w:lineRule="auto"/>
        <w:jc w:val="both"/>
        <w:rPr>
          <w:rFonts w:ascii="Arial" w:hAnsi="Arial" w:cs="Arial"/>
          <w:b/>
          <w:i/>
          <w:color w:val="000000"/>
          <w:sz w:val="20"/>
          <w:szCs w:val="20"/>
        </w:rPr>
      </w:pPr>
      <w:r w:rsidRPr="00FE1BAC">
        <w:rPr>
          <w:rFonts w:ascii="Arial" w:hAnsi="Arial" w:cs="Arial"/>
          <w:b/>
          <w:color w:val="000000"/>
          <w:sz w:val="20"/>
          <w:szCs w:val="20"/>
        </w:rPr>
        <w:lastRenderedPageBreak/>
        <w:t xml:space="preserve">Razpoložljivi dohodek na prebivalca </w:t>
      </w:r>
    </w:p>
    <w:p w:rsidR="00190A8F" w:rsidRPr="00FE1BAC" w:rsidRDefault="00190A8F" w:rsidP="00C9331A">
      <w:pPr>
        <w:spacing w:after="0" w:line="240" w:lineRule="auto"/>
        <w:jc w:val="both"/>
        <w:rPr>
          <w:rFonts w:ascii="Arial" w:hAnsi="Arial" w:cs="Arial"/>
          <w:b/>
          <w:i/>
          <w:color w:val="000000"/>
          <w:sz w:val="20"/>
          <w:szCs w:val="20"/>
        </w:rPr>
      </w:pPr>
    </w:p>
    <w:p w:rsidR="00190A8F" w:rsidRPr="00FE1BAC" w:rsidRDefault="00190A8F" w:rsidP="005951FE">
      <w:pPr>
        <w:spacing w:after="0" w:line="240" w:lineRule="auto"/>
        <w:jc w:val="both"/>
        <w:rPr>
          <w:rFonts w:ascii="Arial" w:hAnsi="Arial" w:cs="Arial"/>
          <w:b/>
          <w:color w:val="000000"/>
          <w:sz w:val="20"/>
          <w:szCs w:val="20"/>
        </w:rPr>
      </w:pPr>
      <w:r w:rsidRPr="00FE1BAC">
        <w:rPr>
          <w:rFonts w:ascii="Arial" w:hAnsi="Arial" w:cs="Arial"/>
          <w:color w:val="000000"/>
          <w:sz w:val="20"/>
          <w:szCs w:val="20"/>
        </w:rPr>
        <w:t xml:space="preserve">Razpoložljivi dohodek je dohodek, ki ga prebivalstvo nameni za končno porabo ali varčevanje. Izračunan je iz primarnega dohodka, ki so mu prišteti prejeti transferji in odšteti plačani transferji. Je izravnalna postavka računa sekundarne delitve dohodka.  Ker na regionalni ravni nimamo primernega kazalnika življenjskega standarda prebivalstva, uporabljamo razpoložljivi dohodek na prebivalca kot posredni kazalnik življenjskega standarda. Metoda izračuna in razpoložljivost sta ista </w:t>
      </w:r>
      <w:r>
        <w:rPr>
          <w:rFonts w:ascii="Arial" w:hAnsi="Arial" w:cs="Arial"/>
          <w:color w:val="000000"/>
          <w:sz w:val="20"/>
          <w:szCs w:val="20"/>
        </w:rPr>
        <w:t>kakor</w:t>
      </w:r>
      <w:r w:rsidRPr="00FE1BAC">
        <w:rPr>
          <w:rFonts w:ascii="Arial" w:hAnsi="Arial" w:cs="Arial"/>
          <w:color w:val="000000"/>
          <w:sz w:val="20"/>
          <w:szCs w:val="20"/>
        </w:rPr>
        <w:t xml:space="preserve"> pri kazalniku bruto domači proizvod na prebivalca.</w:t>
      </w:r>
    </w:p>
    <w:p w:rsidR="00190A8F" w:rsidRDefault="00190A8F" w:rsidP="005951FE">
      <w:pPr>
        <w:spacing w:after="0" w:line="240" w:lineRule="auto"/>
        <w:jc w:val="both"/>
        <w:rPr>
          <w:rFonts w:ascii="Arial" w:hAnsi="Arial" w:cs="Arial"/>
          <w:color w:val="000000"/>
          <w:sz w:val="20"/>
          <w:szCs w:val="20"/>
        </w:rPr>
      </w:pPr>
    </w:p>
    <w:p w:rsidR="00547D8F" w:rsidRPr="00FE1BAC" w:rsidRDefault="00547D8F" w:rsidP="005951FE">
      <w:pPr>
        <w:spacing w:after="0" w:line="240" w:lineRule="auto"/>
        <w:jc w:val="both"/>
        <w:rPr>
          <w:rFonts w:ascii="Arial" w:hAnsi="Arial" w:cs="Arial"/>
          <w:color w:val="000000"/>
          <w:sz w:val="20"/>
          <w:szCs w:val="20"/>
        </w:rPr>
      </w:pPr>
    </w:p>
    <w:p w:rsidR="00190A8F" w:rsidRPr="00FE1BAC" w:rsidRDefault="00190A8F" w:rsidP="005951FE">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 xml:space="preserve">Teža kazalnikov </w:t>
      </w:r>
    </w:p>
    <w:p w:rsidR="00190A8F" w:rsidRPr="00FE1BAC" w:rsidRDefault="00190A8F" w:rsidP="005951FE">
      <w:pPr>
        <w:spacing w:after="0" w:line="240" w:lineRule="auto"/>
        <w:jc w:val="both"/>
        <w:rPr>
          <w:rFonts w:ascii="Arial" w:hAnsi="Arial" w:cs="Arial"/>
          <w:color w:val="000000"/>
          <w:sz w:val="20"/>
          <w:szCs w:val="20"/>
        </w:rPr>
      </w:pPr>
    </w:p>
    <w:p w:rsidR="00190A8F" w:rsidRPr="00FE1BAC" w:rsidRDefault="00190A8F" w:rsidP="005951FE">
      <w:pPr>
        <w:pStyle w:val="Telobesedila3"/>
        <w:spacing w:after="0"/>
        <w:jc w:val="both"/>
        <w:rPr>
          <w:rFonts w:ascii="Arial" w:hAnsi="Arial" w:cs="Arial"/>
          <w:color w:val="000000"/>
          <w:sz w:val="20"/>
          <w:szCs w:val="20"/>
        </w:rPr>
      </w:pPr>
      <w:r w:rsidRPr="00FE1BAC">
        <w:rPr>
          <w:rFonts w:ascii="Arial" w:hAnsi="Arial" w:cs="Arial"/>
          <w:color w:val="000000"/>
          <w:sz w:val="20"/>
          <w:szCs w:val="20"/>
        </w:rPr>
        <w:t xml:space="preserve">Kazalniki se upoštevajo z enakimi utežmi. </w:t>
      </w:r>
    </w:p>
    <w:p w:rsidR="00190A8F" w:rsidRDefault="00190A8F" w:rsidP="005951FE">
      <w:pPr>
        <w:pStyle w:val="Telobesedila3"/>
        <w:spacing w:after="0"/>
        <w:jc w:val="both"/>
        <w:rPr>
          <w:rFonts w:ascii="Arial" w:hAnsi="Arial" w:cs="Arial"/>
          <w:color w:val="000000"/>
          <w:sz w:val="20"/>
          <w:szCs w:val="20"/>
        </w:rPr>
      </w:pPr>
    </w:p>
    <w:p w:rsidR="00547D8F" w:rsidRPr="00FE1BAC" w:rsidRDefault="00547D8F" w:rsidP="005951FE">
      <w:pPr>
        <w:pStyle w:val="Telobesedila3"/>
        <w:spacing w:after="0"/>
        <w:jc w:val="both"/>
        <w:rPr>
          <w:rFonts w:ascii="Arial" w:hAnsi="Arial" w:cs="Arial"/>
          <w:color w:val="000000"/>
          <w:sz w:val="20"/>
          <w:szCs w:val="20"/>
        </w:rPr>
      </w:pPr>
    </w:p>
    <w:p w:rsidR="00190A8F" w:rsidRPr="00FE1BAC" w:rsidRDefault="00190A8F" w:rsidP="005951FE">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 xml:space="preserve">Časovno obdobje </w:t>
      </w:r>
    </w:p>
    <w:p w:rsidR="00190A8F" w:rsidRPr="00FE1BAC" w:rsidRDefault="00190A8F" w:rsidP="005951FE">
      <w:pPr>
        <w:pStyle w:val="Telobesedila3"/>
        <w:spacing w:after="0"/>
        <w:jc w:val="both"/>
        <w:rPr>
          <w:rFonts w:ascii="Arial" w:hAnsi="Arial" w:cs="Arial"/>
          <w:color w:val="000000"/>
          <w:sz w:val="20"/>
          <w:szCs w:val="20"/>
        </w:rPr>
      </w:pPr>
    </w:p>
    <w:p w:rsidR="00190A8F" w:rsidRPr="00FE1BAC" w:rsidRDefault="00190A8F" w:rsidP="000048D3">
      <w:pPr>
        <w:spacing w:after="0" w:line="240" w:lineRule="auto"/>
        <w:jc w:val="both"/>
        <w:rPr>
          <w:rFonts w:ascii="Arial" w:hAnsi="Arial" w:cs="Arial"/>
          <w:color w:val="000000"/>
          <w:sz w:val="20"/>
          <w:szCs w:val="20"/>
        </w:rPr>
      </w:pPr>
      <w:r w:rsidRPr="00FE1BAC">
        <w:rPr>
          <w:rFonts w:ascii="Arial" w:hAnsi="Arial" w:cs="Arial"/>
          <w:color w:val="000000"/>
          <w:sz w:val="20"/>
          <w:szCs w:val="20"/>
        </w:rPr>
        <w:t>Kazalniki so pogosto zelo občutljivi za ciklična gibanja, zato je smiselno uporabljati večletno povprečje. Evropska komisija za določitev upravičenosti do sredstev kohezijske politike uporablja triletno povprečje zadnjih razpoložljivih podatkov. Enako je splošno pravilo tudi pri izračunu indeksa razvojne ogroženosti. Izjema so kazalniki, kjer t</w:t>
      </w:r>
      <w:r>
        <w:rPr>
          <w:rFonts w:ascii="Arial" w:hAnsi="Arial" w:cs="Arial"/>
          <w:color w:val="000000"/>
          <w:sz w:val="20"/>
          <w:szCs w:val="20"/>
        </w:rPr>
        <w:t>ega</w:t>
      </w:r>
      <w:r w:rsidRPr="00FE1BAC">
        <w:rPr>
          <w:rFonts w:ascii="Arial" w:hAnsi="Arial" w:cs="Arial"/>
          <w:color w:val="000000"/>
          <w:sz w:val="20"/>
          <w:szCs w:val="20"/>
        </w:rPr>
        <w:t xml:space="preserve"> pravil</w:t>
      </w:r>
      <w:r>
        <w:rPr>
          <w:rFonts w:ascii="Arial" w:hAnsi="Arial" w:cs="Arial"/>
          <w:color w:val="000000"/>
          <w:sz w:val="20"/>
          <w:szCs w:val="20"/>
        </w:rPr>
        <w:t>a</w:t>
      </w:r>
      <w:r w:rsidRPr="00FE1BAC">
        <w:rPr>
          <w:rFonts w:ascii="Arial" w:hAnsi="Arial" w:cs="Arial"/>
          <w:color w:val="000000"/>
          <w:sz w:val="20"/>
          <w:szCs w:val="20"/>
        </w:rPr>
        <w:t xml:space="preserve"> ni mogoče upoštevati </w:t>
      </w:r>
      <w:r>
        <w:rPr>
          <w:rFonts w:ascii="Arial" w:hAnsi="Arial" w:cs="Arial"/>
          <w:color w:val="000000"/>
          <w:sz w:val="20"/>
          <w:szCs w:val="20"/>
        </w:rPr>
        <w:t>ali</w:t>
      </w:r>
      <w:r w:rsidRPr="00FE1BAC">
        <w:rPr>
          <w:rFonts w:ascii="Arial" w:hAnsi="Arial" w:cs="Arial"/>
          <w:color w:val="000000"/>
          <w:sz w:val="20"/>
          <w:szCs w:val="20"/>
        </w:rPr>
        <w:t xml:space="preserve"> ga zaradi vsebine kazalnika ni smiselno upoštevati. To so: </w:t>
      </w:r>
      <w:r w:rsidRPr="00FE1BAC">
        <w:rPr>
          <w:rFonts w:ascii="Arial" w:hAnsi="Arial" w:cs="Arial"/>
          <w:color w:val="000000"/>
          <w:sz w:val="20"/>
          <w:szCs w:val="20"/>
          <w:lang w:eastAsia="sl-SI"/>
        </w:rPr>
        <w:t xml:space="preserve">delež prebivalstva s terciarno izobrazbo v </w:t>
      </w:r>
      <w:r>
        <w:rPr>
          <w:rFonts w:ascii="Arial" w:hAnsi="Arial" w:cs="Arial"/>
          <w:color w:val="000000"/>
          <w:sz w:val="20"/>
          <w:szCs w:val="20"/>
          <w:lang w:eastAsia="sl-SI"/>
        </w:rPr>
        <w:t>starosti</w:t>
      </w:r>
      <w:r w:rsidRPr="00FE1BAC">
        <w:rPr>
          <w:rFonts w:ascii="Arial" w:hAnsi="Arial" w:cs="Arial"/>
          <w:color w:val="000000"/>
          <w:sz w:val="20"/>
          <w:szCs w:val="20"/>
          <w:lang w:eastAsia="sl-SI"/>
        </w:rPr>
        <w:t xml:space="preserve"> od 25</w:t>
      </w:r>
      <w:r w:rsidRPr="00FE1BAC">
        <w:rPr>
          <w:rFonts w:ascii="Arial" w:hAnsi="Arial" w:cs="Arial"/>
          <w:color w:val="000000"/>
          <w:sz w:val="20"/>
          <w:szCs w:val="20"/>
        </w:rPr>
        <w:t>–</w:t>
      </w:r>
      <w:r w:rsidRPr="00FE1BAC">
        <w:rPr>
          <w:rFonts w:ascii="Arial" w:hAnsi="Arial" w:cs="Arial"/>
          <w:color w:val="000000"/>
          <w:sz w:val="20"/>
          <w:szCs w:val="20"/>
          <w:lang w:eastAsia="sl-SI"/>
        </w:rPr>
        <w:t>64 let, kjer so podatki razpoložljivi le za leti 2011 in 2012</w:t>
      </w:r>
      <w:r>
        <w:rPr>
          <w:rFonts w:ascii="Arial" w:hAnsi="Arial" w:cs="Arial"/>
          <w:color w:val="000000"/>
          <w:sz w:val="20"/>
          <w:szCs w:val="20"/>
          <w:lang w:eastAsia="sl-SI"/>
        </w:rPr>
        <w:t>,</w:t>
      </w:r>
      <w:r w:rsidRPr="00FE1BAC">
        <w:rPr>
          <w:rFonts w:ascii="Arial" w:hAnsi="Arial" w:cs="Arial"/>
          <w:color w:val="000000"/>
          <w:sz w:val="20"/>
          <w:szCs w:val="20"/>
          <w:lang w:eastAsia="sl-SI"/>
        </w:rPr>
        <w:t xml:space="preserve"> ter delež prečiščene odpadne vode z vsaj sekundarnim čiščenjem v izpuščeni odpadni vodi in delež površine zavarovanih območij v regiji, kjer se upošteva</w:t>
      </w:r>
      <w:r>
        <w:rPr>
          <w:rFonts w:ascii="Arial" w:hAnsi="Arial" w:cs="Arial"/>
          <w:color w:val="000000"/>
          <w:sz w:val="20"/>
          <w:szCs w:val="20"/>
          <w:lang w:eastAsia="sl-SI"/>
        </w:rPr>
        <w:t>jo</w:t>
      </w:r>
      <w:r w:rsidRPr="00FE1BAC">
        <w:rPr>
          <w:rFonts w:ascii="Arial" w:hAnsi="Arial" w:cs="Arial"/>
          <w:color w:val="000000"/>
          <w:sz w:val="20"/>
          <w:szCs w:val="20"/>
          <w:lang w:eastAsia="sl-SI"/>
        </w:rPr>
        <w:t xml:space="preserve"> podatk</w:t>
      </w:r>
      <w:r>
        <w:rPr>
          <w:rFonts w:ascii="Arial" w:hAnsi="Arial" w:cs="Arial"/>
          <w:color w:val="000000"/>
          <w:sz w:val="20"/>
          <w:szCs w:val="20"/>
          <w:lang w:eastAsia="sl-SI"/>
        </w:rPr>
        <w:t>i</w:t>
      </w:r>
      <w:r w:rsidRPr="00FE1BAC">
        <w:rPr>
          <w:rFonts w:ascii="Arial" w:hAnsi="Arial" w:cs="Arial"/>
          <w:color w:val="000000"/>
          <w:sz w:val="20"/>
          <w:szCs w:val="20"/>
          <w:lang w:eastAsia="sl-SI"/>
        </w:rPr>
        <w:t xml:space="preserve"> za zadnje razpoložljivo leto.</w:t>
      </w:r>
    </w:p>
    <w:p w:rsidR="00190A8F" w:rsidRPr="00FE1BAC" w:rsidRDefault="00190A8F" w:rsidP="005D7497">
      <w:pPr>
        <w:spacing w:after="0" w:line="240" w:lineRule="auto"/>
        <w:jc w:val="both"/>
        <w:rPr>
          <w:rFonts w:ascii="Arial" w:hAnsi="Arial" w:cs="Arial"/>
          <w:color w:val="000000"/>
          <w:sz w:val="20"/>
          <w:szCs w:val="20"/>
        </w:rPr>
      </w:pPr>
    </w:p>
    <w:p w:rsidR="00190A8F" w:rsidRPr="00FE1BAC" w:rsidRDefault="00190A8F" w:rsidP="005D7497">
      <w:pPr>
        <w:spacing w:after="0" w:line="240" w:lineRule="auto"/>
        <w:jc w:val="both"/>
        <w:rPr>
          <w:rFonts w:ascii="Arial" w:hAnsi="Arial" w:cs="Arial"/>
          <w:color w:val="000000"/>
          <w:sz w:val="20"/>
          <w:szCs w:val="20"/>
        </w:rPr>
      </w:pPr>
    </w:p>
    <w:p w:rsidR="00190A8F" w:rsidRPr="00FE1BAC" w:rsidRDefault="00190A8F" w:rsidP="005951FE">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Metoda izračuna indeksa razvojne ogroženosti</w:t>
      </w:r>
    </w:p>
    <w:p w:rsidR="00190A8F" w:rsidRPr="00FE1BAC" w:rsidRDefault="00190A8F" w:rsidP="005951FE">
      <w:pPr>
        <w:pStyle w:val="Telobesedila3"/>
        <w:spacing w:after="0"/>
        <w:jc w:val="both"/>
        <w:rPr>
          <w:rFonts w:ascii="Arial" w:hAnsi="Arial" w:cs="Arial"/>
          <w:color w:val="000000"/>
          <w:sz w:val="20"/>
          <w:szCs w:val="20"/>
          <w:highlight w:val="yellow"/>
        </w:rPr>
      </w:pPr>
    </w:p>
    <w:p w:rsidR="00190A8F" w:rsidRPr="00FE1BAC" w:rsidRDefault="00190A8F" w:rsidP="007D78AC">
      <w:pPr>
        <w:pStyle w:val="Telobesedila3"/>
        <w:spacing w:after="0"/>
        <w:jc w:val="both"/>
        <w:rPr>
          <w:rFonts w:ascii="Arial" w:hAnsi="Arial" w:cs="Arial"/>
          <w:color w:val="000000"/>
          <w:sz w:val="20"/>
          <w:szCs w:val="20"/>
        </w:rPr>
      </w:pPr>
      <w:r w:rsidRPr="00FE1BAC">
        <w:rPr>
          <w:rFonts w:ascii="Arial" w:hAnsi="Arial" w:cs="Arial"/>
          <w:color w:val="000000"/>
          <w:sz w:val="20"/>
          <w:szCs w:val="20"/>
        </w:rPr>
        <w:t>Za izračun indeksa razvojne ogroženosti smo uporabili štirinajst zgoraj naštetih kazalnikov, ki jih lahko združimo v tri skupine glede na razvitost, ogroženost in razvojne možnosti. Ker gre za kazalnike, ki so izraženi v različnih vrednostih (%, evro, indeks</w:t>
      </w:r>
      <w:r>
        <w:rPr>
          <w:rFonts w:ascii="Arial" w:hAnsi="Arial" w:cs="Arial"/>
          <w:color w:val="000000"/>
          <w:sz w:val="20"/>
          <w:szCs w:val="20"/>
        </w:rPr>
        <w:t> </w:t>
      </w:r>
      <w:r w:rsidRPr="00FE1BAC">
        <w:rPr>
          <w:rFonts w:ascii="Arial" w:hAnsi="Arial" w:cs="Arial"/>
          <w:color w:val="000000"/>
          <w:sz w:val="20"/>
          <w:szCs w:val="20"/>
        </w:rPr>
        <w:t>…)</w:t>
      </w:r>
      <w:r>
        <w:rPr>
          <w:rFonts w:ascii="Arial" w:hAnsi="Arial" w:cs="Arial"/>
          <w:color w:val="000000"/>
          <w:sz w:val="20"/>
          <w:szCs w:val="20"/>
        </w:rPr>
        <w:t>,</w:t>
      </w:r>
      <w:r w:rsidRPr="00FE1BAC">
        <w:rPr>
          <w:rFonts w:ascii="Arial" w:hAnsi="Arial" w:cs="Arial"/>
          <w:color w:val="000000"/>
          <w:sz w:val="20"/>
          <w:szCs w:val="20"/>
        </w:rPr>
        <w:t xml:space="preserve"> smo vsakega od teh kazalnikov standardizirali, tako da smo določili njegovo spodnjo in zgornjo mejo </w:t>
      </w:r>
      <w:r>
        <w:rPr>
          <w:rFonts w:ascii="Arial" w:hAnsi="Arial" w:cs="Arial"/>
          <w:color w:val="000000"/>
          <w:sz w:val="20"/>
          <w:szCs w:val="20"/>
        </w:rPr>
        <w:t>ter</w:t>
      </w:r>
      <w:r w:rsidRPr="00FE1BAC">
        <w:rPr>
          <w:rFonts w:ascii="Arial" w:hAnsi="Arial" w:cs="Arial"/>
          <w:color w:val="000000"/>
          <w:sz w:val="20"/>
          <w:szCs w:val="20"/>
        </w:rPr>
        <w:t xml:space="preserve"> izračunali njegovo standardizirano vrednost po formuli: </w:t>
      </w:r>
    </w:p>
    <w:p w:rsidR="00190A8F" w:rsidRPr="00FE1BAC" w:rsidRDefault="00190A8F" w:rsidP="007D78AC">
      <w:pPr>
        <w:pStyle w:val="Telobesedila3"/>
        <w:spacing w:after="0"/>
        <w:jc w:val="both"/>
        <w:rPr>
          <w:rFonts w:ascii="Arial" w:hAnsi="Arial" w:cs="Arial"/>
          <w:color w:val="000000"/>
          <w:sz w:val="20"/>
          <w:szCs w:val="20"/>
        </w:rPr>
      </w:pPr>
    </w:p>
    <w:p w:rsidR="00190A8F" w:rsidRPr="00FE1BAC" w:rsidRDefault="00190A8F" w:rsidP="007D78AC">
      <w:pPr>
        <w:pStyle w:val="Telobesedila3"/>
        <w:spacing w:after="0"/>
        <w:jc w:val="both"/>
        <w:rPr>
          <w:rFonts w:ascii="Arial" w:hAnsi="Arial" w:cs="Arial"/>
          <w:color w:val="000000"/>
          <w:sz w:val="20"/>
          <w:szCs w:val="20"/>
        </w:rPr>
      </w:pPr>
      <w:r w:rsidRPr="00FE1BAC">
        <w:rPr>
          <w:rFonts w:ascii="Arial" w:hAnsi="Arial" w:cs="Arial"/>
          <w:color w:val="000000"/>
          <w:sz w:val="20"/>
          <w:szCs w:val="20"/>
        </w:rPr>
        <w:t xml:space="preserve">      </w:t>
      </w: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t>(dejanska vrednost – minimalna vrednost)</w:t>
      </w:r>
    </w:p>
    <w:p w:rsidR="00190A8F" w:rsidRPr="00FE1BAC" w:rsidRDefault="00190A8F" w:rsidP="007D78AC">
      <w:pPr>
        <w:pStyle w:val="Telobesedila3"/>
        <w:spacing w:after="0"/>
        <w:jc w:val="both"/>
        <w:rPr>
          <w:rFonts w:ascii="Arial" w:hAnsi="Arial" w:cs="Arial"/>
          <w:color w:val="000000"/>
          <w:sz w:val="20"/>
          <w:szCs w:val="20"/>
        </w:rPr>
      </w:pPr>
      <w:r w:rsidRPr="00FE1BAC">
        <w:rPr>
          <w:rFonts w:ascii="Arial" w:hAnsi="Arial" w:cs="Arial"/>
          <w:color w:val="000000"/>
          <w:sz w:val="20"/>
          <w:szCs w:val="20"/>
        </w:rPr>
        <w:t>Vrednost posameznega kazalnika: –––––––––––––––––––––––––––––––––––––––––</w:t>
      </w:r>
    </w:p>
    <w:p w:rsidR="00190A8F" w:rsidRPr="00FE1BAC" w:rsidRDefault="00190A8F" w:rsidP="007D78AC">
      <w:pPr>
        <w:pStyle w:val="Telobesedila3"/>
        <w:spacing w:after="0"/>
        <w:jc w:val="both"/>
        <w:rPr>
          <w:rFonts w:ascii="Arial" w:hAnsi="Arial" w:cs="Arial"/>
          <w:color w:val="000000"/>
          <w:sz w:val="20"/>
          <w:szCs w:val="20"/>
        </w:rPr>
      </w:pP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r>
      <w:r w:rsidRPr="00FE1BAC">
        <w:rPr>
          <w:rFonts w:ascii="Arial" w:hAnsi="Arial" w:cs="Arial"/>
          <w:color w:val="000000"/>
          <w:sz w:val="20"/>
          <w:szCs w:val="20"/>
        </w:rPr>
        <w:tab/>
        <w:t>(maksimalna vrednost – minimalna vrednost)</w:t>
      </w:r>
    </w:p>
    <w:p w:rsidR="00190A8F" w:rsidRPr="00FE1BAC" w:rsidRDefault="00190A8F" w:rsidP="007D78AC">
      <w:pPr>
        <w:pStyle w:val="Telobesedila3"/>
        <w:spacing w:after="0"/>
        <w:jc w:val="both"/>
        <w:rPr>
          <w:rFonts w:ascii="Arial" w:hAnsi="Arial" w:cs="Arial"/>
          <w:color w:val="000000"/>
          <w:sz w:val="20"/>
          <w:szCs w:val="20"/>
        </w:rPr>
      </w:pPr>
    </w:p>
    <w:p w:rsidR="00190A8F" w:rsidRPr="00FE1BAC" w:rsidRDefault="00190A8F" w:rsidP="005D7497">
      <w:pPr>
        <w:pStyle w:val="Telobesedila3"/>
        <w:spacing w:after="0"/>
        <w:jc w:val="both"/>
        <w:rPr>
          <w:rFonts w:ascii="Arial" w:hAnsi="Arial" w:cs="Arial"/>
          <w:color w:val="000000"/>
          <w:sz w:val="20"/>
          <w:szCs w:val="20"/>
        </w:rPr>
      </w:pPr>
      <w:r w:rsidRPr="00FE1BAC">
        <w:rPr>
          <w:rFonts w:ascii="Arial" w:hAnsi="Arial" w:cs="Arial"/>
          <w:color w:val="000000"/>
          <w:sz w:val="20"/>
          <w:szCs w:val="20"/>
        </w:rPr>
        <w:t xml:space="preserve">Zgornja in spodnja mejna vrednost sta minimalna </w:t>
      </w:r>
      <w:r>
        <w:rPr>
          <w:rFonts w:ascii="Arial" w:hAnsi="Arial" w:cs="Arial"/>
          <w:color w:val="000000"/>
          <w:sz w:val="20"/>
          <w:szCs w:val="20"/>
        </w:rPr>
        <w:t>in</w:t>
      </w:r>
      <w:r w:rsidRPr="00FE1BAC">
        <w:rPr>
          <w:rFonts w:ascii="Arial" w:hAnsi="Arial" w:cs="Arial"/>
          <w:color w:val="000000"/>
          <w:sz w:val="20"/>
          <w:szCs w:val="20"/>
        </w:rPr>
        <w:t xml:space="preserve"> maksimalna vrednost kazalnikov po regijah. Pri t.</w:t>
      </w:r>
      <w:r>
        <w:rPr>
          <w:rFonts w:ascii="Arial" w:hAnsi="Arial" w:cs="Arial"/>
          <w:color w:val="000000"/>
          <w:sz w:val="20"/>
          <w:szCs w:val="20"/>
        </w:rPr>
        <w:t> </w:t>
      </w:r>
      <w:r w:rsidRPr="00FE1BAC">
        <w:rPr>
          <w:rFonts w:ascii="Arial" w:hAnsi="Arial" w:cs="Arial"/>
          <w:color w:val="000000"/>
          <w:sz w:val="20"/>
          <w:szCs w:val="20"/>
        </w:rPr>
        <w:t>i. negativnih kazalnikih (stopnja registrirane brezposelnosti mladih v starosti 15–29 let, delež površine zavarovanih območij v regiji, delež ocenjene škode zaradi elementarnih nesreč v bruto domačem proizvodu, stopnja registrirane brezposelnosti, indeks staranja prebivalstva in skupni koeficient starostne odvisnosti, kjer višja vrednost kazalnika pomeni slabše stanje) smo uporabili inverzno vrednost.</w:t>
      </w:r>
    </w:p>
    <w:p w:rsidR="00190A8F" w:rsidRPr="00FE1BAC" w:rsidRDefault="00190A8F" w:rsidP="00286F56">
      <w:pPr>
        <w:spacing w:after="0" w:line="240" w:lineRule="auto"/>
        <w:jc w:val="both"/>
        <w:rPr>
          <w:rFonts w:ascii="Arial" w:hAnsi="Arial" w:cs="Arial"/>
          <w:b/>
          <w:color w:val="000000"/>
          <w:sz w:val="20"/>
          <w:szCs w:val="20"/>
        </w:rPr>
      </w:pPr>
    </w:p>
    <w:p w:rsidR="00190A8F" w:rsidRPr="00FE1BAC" w:rsidRDefault="00190A8F" w:rsidP="007D78AC">
      <w:pPr>
        <w:pStyle w:val="Telobesedila3"/>
        <w:spacing w:after="0"/>
        <w:jc w:val="both"/>
        <w:rPr>
          <w:rFonts w:ascii="Arial" w:hAnsi="Arial" w:cs="Arial"/>
          <w:color w:val="000000"/>
          <w:sz w:val="20"/>
          <w:szCs w:val="20"/>
        </w:rPr>
      </w:pPr>
      <w:r w:rsidRPr="00FE1BAC">
        <w:rPr>
          <w:rFonts w:ascii="Arial" w:hAnsi="Arial" w:cs="Arial"/>
          <w:color w:val="000000"/>
          <w:sz w:val="20"/>
          <w:szCs w:val="20"/>
        </w:rPr>
        <w:t>Iz standardiziranih vrednosti za posamezno regijo je izračunano aritmetično povprečje iz vseh štirinajstih kazalnikov. Tako dobljena končna standardizirana vrednost za vsako posamezno regijo se giblje od 0 do 1, pri čemer višja vrednost pomeni ugodne</w:t>
      </w:r>
      <w:r>
        <w:rPr>
          <w:rFonts w:ascii="Arial" w:hAnsi="Arial" w:cs="Arial"/>
          <w:color w:val="000000"/>
          <w:sz w:val="20"/>
          <w:szCs w:val="20"/>
        </w:rPr>
        <w:t>jše</w:t>
      </w:r>
      <w:r w:rsidRPr="00FE1BAC">
        <w:rPr>
          <w:rFonts w:ascii="Arial" w:hAnsi="Arial" w:cs="Arial"/>
          <w:color w:val="000000"/>
          <w:sz w:val="20"/>
          <w:szCs w:val="20"/>
        </w:rPr>
        <w:t xml:space="preserve"> kazalnike za regijo. Zato so te standardizirane vrednosti izražene v inverzni obliki, iz nje pa izračunani indeksi ravni (Slovenija</w:t>
      </w:r>
      <w:r>
        <w:rPr>
          <w:rFonts w:ascii="Arial" w:hAnsi="Arial" w:cs="Arial"/>
          <w:color w:val="000000"/>
          <w:sz w:val="20"/>
          <w:szCs w:val="20"/>
        </w:rPr>
        <w:t> </w:t>
      </w:r>
      <w:r w:rsidRPr="00FE1BAC">
        <w:rPr>
          <w:rFonts w:ascii="Arial" w:hAnsi="Arial" w:cs="Arial"/>
          <w:color w:val="000000"/>
          <w:sz w:val="20"/>
          <w:szCs w:val="20"/>
        </w:rPr>
        <w:t>=</w:t>
      </w:r>
      <w:r>
        <w:rPr>
          <w:rFonts w:ascii="Arial" w:hAnsi="Arial" w:cs="Arial"/>
          <w:color w:val="000000"/>
          <w:sz w:val="20"/>
          <w:szCs w:val="20"/>
        </w:rPr>
        <w:t> </w:t>
      </w:r>
      <w:r w:rsidRPr="00FE1BAC">
        <w:rPr>
          <w:rFonts w:ascii="Arial" w:hAnsi="Arial" w:cs="Arial"/>
          <w:color w:val="000000"/>
          <w:sz w:val="20"/>
          <w:szCs w:val="20"/>
        </w:rPr>
        <w:t xml:space="preserve">100), ki predstavljajo indekse razvojne ogroženosti regij. Višja vrednost indeksa pomeni višjo razvojno ogroženost regije. </w:t>
      </w:r>
    </w:p>
    <w:p w:rsidR="00190A8F" w:rsidRDefault="00190A8F" w:rsidP="005951FE">
      <w:pPr>
        <w:pStyle w:val="Telobesedila3"/>
        <w:spacing w:after="0"/>
        <w:jc w:val="both"/>
        <w:rPr>
          <w:rFonts w:ascii="Arial" w:hAnsi="Arial" w:cs="Arial"/>
          <w:color w:val="000000"/>
          <w:sz w:val="20"/>
          <w:szCs w:val="20"/>
        </w:rPr>
      </w:pPr>
    </w:p>
    <w:p w:rsidR="00547D8F" w:rsidRPr="00FE1BAC" w:rsidRDefault="00547D8F" w:rsidP="005951FE">
      <w:pPr>
        <w:pStyle w:val="Telobesedila3"/>
        <w:spacing w:after="0"/>
        <w:jc w:val="both"/>
        <w:rPr>
          <w:rFonts w:ascii="Arial" w:hAnsi="Arial" w:cs="Arial"/>
          <w:color w:val="000000"/>
          <w:sz w:val="20"/>
          <w:szCs w:val="20"/>
        </w:rPr>
      </w:pPr>
    </w:p>
    <w:p w:rsidR="00190A8F" w:rsidRPr="00FE1BAC" w:rsidRDefault="00190A8F" w:rsidP="002D472C">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 xml:space="preserve">Rezultati izračuna indeksa razvojne ogroženosti </w:t>
      </w:r>
    </w:p>
    <w:p w:rsidR="00190A8F" w:rsidRPr="00FE1BAC" w:rsidRDefault="00190A8F" w:rsidP="005951FE">
      <w:pPr>
        <w:pStyle w:val="Telobesedila3"/>
        <w:spacing w:after="0"/>
        <w:jc w:val="both"/>
        <w:rPr>
          <w:rFonts w:ascii="Arial" w:hAnsi="Arial" w:cs="Arial"/>
          <w:color w:val="000000"/>
          <w:sz w:val="20"/>
          <w:szCs w:val="20"/>
        </w:rPr>
      </w:pPr>
    </w:p>
    <w:p w:rsidR="00190A8F" w:rsidRPr="00FE1BAC" w:rsidRDefault="00190A8F" w:rsidP="005951FE">
      <w:pPr>
        <w:pStyle w:val="Telobesedila3"/>
        <w:spacing w:after="0"/>
        <w:jc w:val="both"/>
        <w:rPr>
          <w:rFonts w:ascii="Arial" w:hAnsi="Arial" w:cs="Arial"/>
          <w:color w:val="000000"/>
          <w:sz w:val="20"/>
          <w:szCs w:val="20"/>
        </w:rPr>
      </w:pPr>
      <w:r w:rsidRPr="00FE1BAC">
        <w:rPr>
          <w:rFonts w:ascii="Arial" w:hAnsi="Arial" w:cs="Arial"/>
          <w:color w:val="000000"/>
          <w:sz w:val="20"/>
          <w:szCs w:val="20"/>
        </w:rPr>
        <w:t xml:space="preserve">Izračun indeksa razvojne ogroženosti da rezultat, prikazan v </w:t>
      </w:r>
      <w:r>
        <w:rPr>
          <w:rFonts w:ascii="Arial" w:hAnsi="Arial" w:cs="Arial"/>
          <w:color w:val="000000"/>
          <w:sz w:val="20"/>
          <w:szCs w:val="20"/>
        </w:rPr>
        <w:t>p</w:t>
      </w:r>
      <w:r w:rsidRPr="00FE1BAC">
        <w:rPr>
          <w:rFonts w:ascii="Arial" w:hAnsi="Arial" w:cs="Arial"/>
          <w:color w:val="000000"/>
          <w:sz w:val="20"/>
          <w:szCs w:val="20"/>
        </w:rPr>
        <w:t>reglednici 3.</w:t>
      </w:r>
    </w:p>
    <w:p w:rsidR="00190A8F" w:rsidRPr="00FE1BAC" w:rsidRDefault="00190A8F" w:rsidP="005951FE">
      <w:pPr>
        <w:pStyle w:val="Telobesedila3"/>
        <w:spacing w:after="0"/>
        <w:jc w:val="both"/>
        <w:rPr>
          <w:rFonts w:ascii="Arial" w:hAnsi="Arial" w:cs="Arial"/>
          <w:color w:val="000000"/>
          <w:sz w:val="20"/>
          <w:szCs w:val="20"/>
        </w:rPr>
      </w:pPr>
    </w:p>
    <w:p w:rsidR="00190A8F" w:rsidRPr="00FE1BAC" w:rsidRDefault="00190A8F" w:rsidP="007A7E6F">
      <w:pPr>
        <w:pStyle w:val="Napis"/>
        <w:keepNext/>
        <w:spacing w:line="240" w:lineRule="auto"/>
        <w:rPr>
          <w:rFonts w:ascii="Arial" w:hAnsi="Arial" w:cs="Arial"/>
          <w:color w:val="000000"/>
        </w:rPr>
      </w:pPr>
      <w:r w:rsidRPr="00FE1BAC">
        <w:rPr>
          <w:rFonts w:ascii="Arial" w:hAnsi="Arial" w:cs="Arial"/>
          <w:color w:val="000000"/>
        </w:rPr>
        <w:lastRenderedPageBreak/>
        <w:t>Preglednica 3: Indeks razvojne ogroženosti (IRO)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69"/>
        <w:gridCol w:w="1417"/>
      </w:tblGrid>
      <w:tr w:rsidR="00190A8F" w:rsidRPr="00FE1BAC" w:rsidTr="00DC10FF">
        <w:tc>
          <w:tcPr>
            <w:tcW w:w="3227" w:type="dxa"/>
          </w:tcPr>
          <w:p w:rsidR="00190A8F" w:rsidRPr="00FE1BAC" w:rsidRDefault="00190A8F" w:rsidP="007A7E6F">
            <w:pPr>
              <w:pStyle w:val="Telobesedila3"/>
              <w:spacing w:after="0"/>
              <w:jc w:val="both"/>
              <w:rPr>
                <w:rFonts w:ascii="Arial" w:hAnsi="Arial" w:cs="Arial"/>
                <w:b/>
                <w:color w:val="000000"/>
                <w:sz w:val="20"/>
                <w:szCs w:val="20"/>
                <w:lang w:eastAsia="en-US"/>
              </w:rPr>
            </w:pPr>
            <w:r w:rsidRPr="00FE1BAC">
              <w:rPr>
                <w:rFonts w:ascii="Arial" w:hAnsi="Arial" w:cs="Arial"/>
                <w:b/>
                <w:color w:val="000000"/>
                <w:sz w:val="20"/>
                <w:szCs w:val="20"/>
                <w:lang w:eastAsia="en-US"/>
              </w:rPr>
              <w:t>Razvojna regija</w:t>
            </w:r>
          </w:p>
        </w:tc>
        <w:tc>
          <w:tcPr>
            <w:tcW w:w="2169" w:type="dxa"/>
          </w:tcPr>
          <w:p w:rsidR="00190A8F" w:rsidRPr="00FE1BAC" w:rsidRDefault="00190A8F" w:rsidP="007A7E6F">
            <w:pPr>
              <w:pStyle w:val="Telobesedila3"/>
              <w:spacing w:after="0"/>
              <w:jc w:val="both"/>
              <w:rPr>
                <w:rFonts w:ascii="Arial" w:hAnsi="Arial" w:cs="Arial"/>
                <w:b/>
                <w:color w:val="000000"/>
                <w:sz w:val="20"/>
                <w:szCs w:val="20"/>
                <w:lang w:eastAsia="en-US"/>
              </w:rPr>
            </w:pPr>
            <w:r w:rsidRPr="00FE1BAC">
              <w:rPr>
                <w:rFonts w:ascii="Arial" w:hAnsi="Arial" w:cs="Arial"/>
                <w:b/>
                <w:color w:val="000000"/>
                <w:sz w:val="20"/>
                <w:szCs w:val="20"/>
                <w:lang w:eastAsia="en-US"/>
              </w:rPr>
              <w:t>IRO</w:t>
            </w:r>
          </w:p>
        </w:tc>
        <w:tc>
          <w:tcPr>
            <w:tcW w:w="1417" w:type="dxa"/>
          </w:tcPr>
          <w:p w:rsidR="00190A8F" w:rsidRPr="00FE1BAC" w:rsidRDefault="00190A8F" w:rsidP="007A7E6F">
            <w:pPr>
              <w:pStyle w:val="Telobesedila3"/>
              <w:spacing w:after="0"/>
              <w:jc w:val="both"/>
              <w:rPr>
                <w:rFonts w:ascii="Arial" w:hAnsi="Arial" w:cs="Arial"/>
                <w:b/>
                <w:color w:val="000000"/>
                <w:sz w:val="20"/>
                <w:szCs w:val="20"/>
                <w:lang w:eastAsia="en-US"/>
              </w:rPr>
            </w:pPr>
            <w:r w:rsidRPr="00FE1BAC">
              <w:rPr>
                <w:rFonts w:ascii="Arial" w:hAnsi="Arial" w:cs="Arial"/>
                <w:b/>
                <w:color w:val="000000"/>
                <w:sz w:val="20"/>
                <w:szCs w:val="20"/>
                <w:lang w:eastAsia="en-US"/>
              </w:rPr>
              <w:t>Rang</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Pomurska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167,9</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1</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Zasavska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138,6</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2</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Podravska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116,2</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3</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Koroška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115,0</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4</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Goriška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106,6</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5</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Notranjsko-kraška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103,5</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6</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Spodnjeposavska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101,8</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7</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Savinjska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101,5</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8</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Gorenjska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76,8</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9</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Jugovzhodna Slovenija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66,1</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10</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Obalno-kraška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66,1</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11</w:t>
            </w:r>
          </w:p>
        </w:tc>
      </w:tr>
      <w:tr w:rsidR="00190A8F" w:rsidRPr="00FE1BAC" w:rsidTr="00DC10FF">
        <w:tc>
          <w:tcPr>
            <w:tcW w:w="3227" w:type="dxa"/>
          </w:tcPr>
          <w:p w:rsidR="00190A8F" w:rsidRPr="00FE1BAC" w:rsidRDefault="00190A8F" w:rsidP="007A7E6F">
            <w:pPr>
              <w:pStyle w:val="Telobesedila3"/>
              <w:spacing w:after="0"/>
              <w:jc w:val="both"/>
              <w:rPr>
                <w:rFonts w:ascii="Arial" w:hAnsi="Arial" w:cs="Arial"/>
                <w:color w:val="000000"/>
                <w:sz w:val="20"/>
                <w:szCs w:val="20"/>
                <w:lang w:eastAsia="en-US"/>
              </w:rPr>
            </w:pPr>
            <w:r w:rsidRPr="00FE1BAC">
              <w:rPr>
                <w:rFonts w:ascii="Arial" w:hAnsi="Arial" w:cs="Arial"/>
                <w:color w:val="000000"/>
                <w:sz w:val="20"/>
                <w:szCs w:val="20"/>
                <w:lang w:eastAsia="en-US"/>
              </w:rPr>
              <w:t>Osrednjeslovenska</w:t>
            </w:r>
          </w:p>
        </w:tc>
        <w:tc>
          <w:tcPr>
            <w:tcW w:w="2169" w:type="dxa"/>
          </w:tcPr>
          <w:p w:rsidR="00190A8F" w:rsidRPr="00FE1BAC" w:rsidRDefault="00190A8F" w:rsidP="000048D3">
            <w:pPr>
              <w:spacing w:after="0" w:line="240" w:lineRule="auto"/>
              <w:ind w:left="851"/>
              <w:jc w:val="both"/>
              <w:rPr>
                <w:rFonts w:ascii="Arial" w:hAnsi="Arial" w:cs="Arial"/>
                <w:color w:val="000000"/>
                <w:sz w:val="20"/>
                <w:szCs w:val="20"/>
              </w:rPr>
            </w:pPr>
            <w:r w:rsidRPr="00FE1BAC">
              <w:rPr>
                <w:rFonts w:ascii="Arial" w:hAnsi="Arial" w:cs="Arial"/>
                <w:color w:val="000000"/>
                <w:sz w:val="20"/>
                <w:szCs w:val="20"/>
              </w:rPr>
              <w:t>39,6</w:t>
            </w:r>
          </w:p>
        </w:tc>
        <w:tc>
          <w:tcPr>
            <w:tcW w:w="1417" w:type="dxa"/>
          </w:tcPr>
          <w:p w:rsidR="00190A8F" w:rsidRPr="00FE1BAC" w:rsidRDefault="00190A8F" w:rsidP="005D7497">
            <w:pPr>
              <w:pStyle w:val="Telobesedila3"/>
              <w:spacing w:after="0"/>
              <w:jc w:val="right"/>
              <w:rPr>
                <w:rFonts w:ascii="Arial" w:hAnsi="Arial" w:cs="Arial"/>
                <w:color w:val="000000"/>
                <w:sz w:val="20"/>
                <w:szCs w:val="20"/>
                <w:lang w:eastAsia="en-US"/>
              </w:rPr>
            </w:pPr>
            <w:r w:rsidRPr="00FE1BAC">
              <w:rPr>
                <w:rFonts w:ascii="Arial" w:hAnsi="Arial" w:cs="Arial"/>
                <w:color w:val="000000"/>
                <w:sz w:val="20"/>
                <w:szCs w:val="20"/>
                <w:lang w:eastAsia="en-US"/>
              </w:rPr>
              <w:t>12</w:t>
            </w:r>
          </w:p>
        </w:tc>
      </w:tr>
    </w:tbl>
    <w:p w:rsidR="00547D8F" w:rsidRPr="00547D8F" w:rsidRDefault="00547D8F" w:rsidP="00547D8F"/>
    <w:p w:rsidR="00190A8F" w:rsidRPr="00FE1BAC" w:rsidRDefault="00190A8F" w:rsidP="002D472C">
      <w:pPr>
        <w:pStyle w:val="Telobesedila-zamik"/>
        <w:numPr>
          <w:ilvl w:val="0"/>
          <w:numId w:val="5"/>
        </w:numPr>
        <w:rPr>
          <w:rFonts w:ascii="Arial" w:hAnsi="Arial" w:cs="Arial"/>
          <w:b/>
          <w:color w:val="000000"/>
          <w:sz w:val="20"/>
          <w:szCs w:val="20"/>
        </w:rPr>
      </w:pPr>
      <w:r w:rsidRPr="00FE1BAC">
        <w:rPr>
          <w:rFonts w:ascii="Arial" w:hAnsi="Arial" w:cs="Arial"/>
          <w:b/>
          <w:color w:val="000000"/>
          <w:sz w:val="20"/>
          <w:szCs w:val="20"/>
        </w:rPr>
        <w:t>Tabelarna priloga</w:t>
      </w:r>
    </w:p>
    <w:p w:rsidR="00190A8F" w:rsidRPr="00FE1BAC" w:rsidRDefault="00190A8F" w:rsidP="002D472C">
      <w:pPr>
        <w:pStyle w:val="Telobesedila3"/>
        <w:spacing w:after="0"/>
        <w:jc w:val="both"/>
        <w:rPr>
          <w:rFonts w:ascii="Arial" w:hAnsi="Arial" w:cs="Arial"/>
          <w:color w:val="000000"/>
          <w:sz w:val="20"/>
          <w:szCs w:val="20"/>
        </w:rPr>
      </w:pPr>
    </w:p>
    <w:p w:rsidR="00190A8F" w:rsidRPr="00FE1BAC" w:rsidRDefault="00190A8F" w:rsidP="00B169CE">
      <w:pPr>
        <w:pStyle w:val="Telobesedila3"/>
        <w:spacing w:after="0"/>
        <w:jc w:val="both"/>
        <w:rPr>
          <w:rFonts w:ascii="Arial" w:hAnsi="Arial" w:cs="Arial"/>
          <w:color w:val="000000"/>
          <w:sz w:val="20"/>
          <w:szCs w:val="20"/>
        </w:rPr>
      </w:pPr>
      <w:r>
        <w:rPr>
          <w:rFonts w:ascii="Arial" w:hAnsi="Arial" w:cs="Arial"/>
          <w:color w:val="000000"/>
          <w:sz w:val="20"/>
          <w:szCs w:val="20"/>
        </w:rPr>
        <w:t xml:space="preserve">– </w:t>
      </w:r>
      <w:r w:rsidRPr="00FE1BAC">
        <w:rPr>
          <w:rFonts w:ascii="Arial" w:hAnsi="Arial" w:cs="Arial"/>
          <w:color w:val="000000"/>
          <w:sz w:val="20"/>
          <w:szCs w:val="20"/>
        </w:rPr>
        <w:t>Kazalniki IRO</w:t>
      </w:r>
    </w:p>
    <w:p w:rsidR="00190A8F" w:rsidRPr="00FE1BAC" w:rsidRDefault="00190A8F" w:rsidP="00B169CE">
      <w:pPr>
        <w:pStyle w:val="Telobesedila3"/>
        <w:spacing w:after="0"/>
        <w:jc w:val="both"/>
        <w:rPr>
          <w:rFonts w:ascii="Arial" w:hAnsi="Arial" w:cs="Arial"/>
          <w:b/>
          <w:color w:val="000000"/>
          <w:sz w:val="20"/>
          <w:szCs w:val="20"/>
        </w:rPr>
      </w:pPr>
      <w:r>
        <w:rPr>
          <w:rFonts w:ascii="Arial" w:hAnsi="Arial" w:cs="Arial"/>
          <w:color w:val="000000"/>
          <w:sz w:val="20"/>
          <w:szCs w:val="20"/>
        </w:rPr>
        <w:t xml:space="preserve">– </w:t>
      </w:r>
      <w:r w:rsidRPr="00FE1BAC">
        <w:rPr>
          <w:rFonts w:ascii="Arial" w:hAnsi="Arial" w:cs="Arial"/>
          <w:color w:val="000000"/>
          <w:sz w:val="20"/>
          <w:szCs w:val="20"/>
        </w:rPr>
        <w:t>Standardizacija kazalnikov in izračun IRO</w:t>
      </w:r>
    </w:p>
    <w:p w:rsidR="00190A8F" w:rsidRPr="00FE1BAC" w:rsidRDefault="00190A8F" w:rsidP="00B169CE">
      <w:pPr>
        <w:pStyle w:val="Telobesedila3"/>
        <w:spacing w:after="0"/>
        <w:jc w:val="both"/>
        <w:rPr>
          <w:rFonts w:ascii="Arial" w:hAnsi="Arial" w:cs="Arial"/>
          <w:color w:val="000000"/>
          <w:sz w:val="20"/>
          <w:szCs w:val="20"/>
        </w:rPr>
      </w:pPr>
      <w:r>
        <w:rPr>
          <w:rFonts w:ascii="Arial" w:hAnsi="Arial" w:cs="Arial"/>
          <w:color w:val="000000"/>
          <w:sz w:val="20"/>
          <w:szCs w:val="20"/>
        </w:rPr>
        <w:t xml:space="preserve">– </w:t>
      </w:r>
      <w:r w:rsidRPr="00FE1BAC">
        <w:rPr>
          <w:rFonts w:ascii="Arial" w:hAnsi="Arial" w:cs="Arial"/>
          <w:color w:val="000000"/>
          <w:sz w:val="20"/>
          <w:szCs w:val="20"/>
        </w:rPr>
        <w:t>Primerjava IRO 2007–2013 in IRO 2014</w:t>
      </w:r>
      <w:r>
        <w:rPr>
          <w:rFonts w:ascii="Arial" w:hAnsi="Arial" w:cs="Arial"/>
          <w:color w:val="000000"/>
          <w:sz w:val="20"/>
          <w:szCs w:val="20"/>
        </w:rPr>
        <w:t>–</w:t>
      </w:r>
      <w:r w:rsidRPr="00FE1BAC">
        <w:rPr>
          <w:rFonts w:ascii="Arial" w:hAnsi="Arial" w:cs="Arial"/>
          <w:color w:val="000000"/>
          <w:sz w:val="20"/>
          <w:szCs w:val="20"/>
        </w:rPr>
        <w:t>2020</w:t>
      </w:r>
    </w:p>
    <w:p w:rsidR="00190A8F" w:rsidRPr="00FE1BAC" w:rsidRDefault="00190A8F">
      <w:pPr>
        <w:spacing w:after="0" w:line="240" w:lineRule="auto"/>
        <w:rPr>
          <w:rFonts w:ascii="Arial" w:hAnsi="Arial" w:cs="Arial"/>
          <w:color w:val="000000"/>
          <w:sz w:val="20"/>
          <w:szCs w:val="20"/>
        </w:rPr>
      </w:pPr>
      <w:r w:rsidRPr="00FE1BAC">
        <w:rPr>
          <w:rFonts w:ascii="Arial" w:hAnsi="Arial" w:cs="Arial"/>
          <w:color w:val="000000"/>
          <w:sz w:val="20"/>
          <w:szCs w:val="20"/>
        </w:rPr>
        <w:br w:type="page"/>
      </w:r>
    </w:p>
    <w:p w:rsidR="00190A8F" w:rsidRPr="00FE1BAC" w:rsidRDefault="000770CD">
      <w:pPr>
        <w:spacing w:after="0" w:line="240" w:lineRule="auto"/>
        <w:rPr>
          <w:rFonts w:ascii="Arial" w:hAnsi="Arial" w:cs="Arial"/>
          <w:color w:val="000000"/>
          <w:sz w:val="20"/>
          <w:szCs w:val="20"/>
        </w:rPr>
      </w:pPr>
      <w:r>
        <w:rPr>
          <w:noProof/>
          <w:sz w:val="20"/>
          <w:szCs w:val="20"/>
          <w:lang w:eastAsia="sl-SI"/>
        </w:rPr>
        <w:lastRenderedPageBreak/>
        <w:drawing>
          <wp:inline distT="0" distB="0" distL="0" distR="0">
            <wp:extent cx="8468360" cy="3148965"/>
            <wp:effectExtent l="0" t="7303" r="1588" b="1587"/>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468360" cy="3148965"/>
                    </a:xfrm>
                    <a:prstGeom prst="rect">
                      <a:avLst/>
                    </a:prstGeom>
                    <a:noFill/>
                    <a:ln>
                      <a:noFill/>
                    </a:ln>
                  </pic:spPr>
                </pic:pic>
              </a:graphicData>
            </a:graphic>
          </wp:inline>
        </w:drawing>
      </w:r>
      <w:r w:rsidR="00190A8F" w:rsidRPr="00FE1BAC">
        <w:rPr>
          <w:rFonts w:ascii="Arial" w:hAnsi="Arial" w:cs="Arial"/>
          <w:color w:val="000000"/>
          <w:sz w:val="20"/>
          <w:szCs w:val="20"/>
        </w:rPr>
        <w:br w:type="page"/>
      </w:r>
    </w:p>
    <w:p w:rsidR="00190A8F" w:rsidRPr="00FE1BAC" w:rsidRDefault="000770CD">
      <w:pPr>
        <w:spacing w:after="0" w:line="240" w:lineRule="auto"/>
        <w:rPr>
          <w:rFonts w:ascii="Arial" w:hAnsi="Arial" w:cs="Arial"/>
          <w:color w:val="000000"/>
          <w:sz w:val="20"/>
          <w:szCs w:val="20"/>
        </w:rPr>
      </w:pPr>
      <w:r>
        <w:rPr>
          <w:noProof/>
          <w:sz w:val="20"/>
          <w:szCs w:val="20"/>
          <w:lang w:eastAsia="sl-SI"/>
        </w:rPr>
        <w:lastRenderedPageBreak/>
        <w:drawing>
          <wp:inline distT="0" distB="0" distL="0" distR="0">
            <wp:extent cx="8507730" cy="2425065"/>
            <wp:effectExtent l="0" t="6668" r="953" b="952"/>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507730" cy="2425065"/>
                    </a:xfrm>
                    <a:prstGeom prst="rect">
                      <a:avLst/>
                    </a:prstGeom>
                    <a:noFill/>
                    <a:ln>
                      <a:noFill/>
                    </a:ln>
                  </pic:spPr>
                </pic:pic>
              </a:graphicData>
            </a:graphic>
          </wp:inline>
        </w:drawing>
      </w:r>
      <w:r w:rsidR="00190A8F" w:rsidRPr="00FE1BAC">
        <w:rPr>
          <w:rFonts w:ascii="Arial" w:hAnsi="Arial" w:cs="Arial"/>
          <w:color w:val="000000"/>
          <w:sz w:val="20"/>
          <w:szCs w:val="20"/>
        </w:rPr>
        <w:br w:type="page"/>
      </w:r>
    </w:p>
    <w:tbl>
      <w:tblPr>
        <w:tblW w:w="6360" w:type="dxa"/>
        <w:tblInd w:w="55" w:type="dxa"/>
        <w:tblCellMar>
          <w:left w:w="70" w:type="dxa"/>
          <w:right w:w="70" w:type="dxa"/>
        </w:tblCellMar>
        <w:tblLook w:val="00A0" w:firstRow="1" w:lastRow="0" w:firstColumn="1" w:lastColumn="0" w:noHBand="0" w:noVBand="0"/>
      </w:tblPr>
      <w:tblGrid>
        <w:gridCol w:w="1975"/>
        <w:gridCol w:w="1040"/>
        <w:gridCol w:w="1065"/>
        <w:gridCol w:w="1080"/>
        <w:gridCol w:w="1200"/>
      </w:tblGrid>
      <w:tr w:rsidR="00190A8F" w:rsidRPr="00FE1BAC" w:rsidTr="0016697A">
        <w:trPr>
          <w:trHeight w:val="330"/>
        </w:trPr>
        <w:tc>
          <w:tcPr>
            <w:tcW w:w="6360" w:type="dxa"/>
            <w:gridSpan w:val="5"/>
            <w:tcBorders>
              <w:top w:val="nil"/>
              <w:left w:val="nil"/>
              <w:bottom w:val="single" w:sz="8" w:space="0" w:color="auto"/>
              <w:right w:val="nil"/>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lastRenderedPageBreak/>
              <w:t>Tabela: Primerjava IRO 2007</w:t>
            </w:r>
            <w:r>
              <w:rPr>
                <w:rFonts w:ascii="Arial" w:hAnsi="Arial" w:cs="Arial"/>
                <w:b/>
                <w:bCs/>
                <w:sz w:val="20"/>
                <w:szCs w:val="20"/>
                <w:lang w:eastAsia="sl-SI"/>
              </w:rPr>
              <w:t>–</w:t>
            </w:r>
            <w:r w:rsidRPr="00FE1BAC">
              <w:rPr>
                <w:rFonts w:ascii="Arial" w:hAnsi="Arial" w:cs="Arial"/>
                <w:b/>
                <w:bCs/>
                <w:sz w:val="20"/>
                <w:szCs w:val="20"/>
                <w:lang w:eastAsia="sl-SI"/>
              </w:rPr>
              <w:t>2013 in IRO 2014</w:t>
            </w:r>
            <w:r>
              <w:rPr>
                <w:rFonts w:ascii="Arial" w:hAnsi="Arial" w:cs="Arial"/>
                <w:b/>
                <w:bCs/>
                <w:sz w:val="20"/>
                <w:szCs w:val="20"/>
                <w:lang w:eastAsia="sl-SI"/>
              </w:rPr>
              <w:t>–</w:t>
            </w:r>
            <w:r w:rsidRPr="00FE1BAC">
              <w:rPr>
                <w:rFonts w:ascii="Arial" w:hAnsi="Arial" w:cs="Arial"/>
                <w:b/>
                <w:bCs/>
                <w:sz w:val="20"/>
                <w:szCs w:val="20"/>
                <w:lang w:eastAsia="sl-SI"/>
              </w:rPr>
              <w:t>2020</w:t>
            </w:r>
          </w:p>
        </w:tc>
      </w:tr>
      <w:tr w:rsidR="00190A8F" w:rsidRPr="00FE1BAC" w:rsidTr="0016697A">
        <w:trPr>
          <w:trHeight w:val="555"/>
        </w:trPr>
        <w:tc>
          <w:tcPr>
            <w:tcW w:w="1940" w:type="dxa"/>
            <w:vMerge w:val="restart"/>
            <w:tcBorders>
              <w:top w:val="nil"/>
              <w:left w:val="single" w:sz="8" w:space="0" w:color="auto"/>
              <w:bottom w:val="single" w:sz="8" w:space="0" w:color="000000"/>
              <w:right w:val="single" w:sz="8" w:space="0" w:color="auto"/>
            </w:tcBorders>
            <w:vAlign w:val="center"/>
          </w:tcPr>
          <w:p w:rsidR="00190A8F" w:rsidRPr="00FE1BAC" w:rsidRDefault="00190A8F" w:rsidP="0016697A">
            <w:pPr>
              <w:spacing w:after="0" w:line="240" w:lineRule="auto"/>
              <w:jc w:val="center"/>
              <w:rPr>
                <w:rFonts w:ascii="Arial" w:hAnsi="Arial" w:cs="Arial"/>
                <w:b/>
                <w:bCs/>
                <w:sz w:val="20"/>
                <w:szCs w:val="20"/>
                <w:lang w:eastAsia="sl-SI"/>
              </w:rPr>
            </w:pPr>
            <w:r w:rsidRPr="00FE1BAC">
              <w:rPr>
                <w:rFonts w:ascii="Arial" w:hAnsi="Arial" w:cs="Arial"/>
                <w:b/>
                <w:bCs/>
                <w:sz w:val="20"/>
                <w:szCs w:val="20"/>
                <w:lang w:eastAsia="sl-SI"/>
              </w:rPr>
              <w:t>Regija NUTS 3</w:t>
            </w:r>
          </w:p>
        </w:tc>
        <w:tc>
          <w:tcPr>
            <w:tcW w:w="2120" w:type="dxa"/>
            <w:gridSpan w:val="2"/>
            <w:tcBorders>
              <w:top w:val="single" w:sz="8" w:space="0" w:color="auto"/>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b/>
                <w:bCs/>
                <w:sz w:val="20"/>
                <w:szCs w:val="20"/>
                <w:lang w:eastAsia="sl-SI"/>
              </w:rPr>
            </w:pPr>
            <w:r w:rsidRPr="00FE1BAC">
              <w:rPr>
                <w:rFonts w:ascii="Arial" w:hAnsi="Arial" w:cs="Arial"/>
                <w:b/>
                <w:bCs/>
                <w:sz w:val="20"/>
                <w:szCs w:val="20"/>
                <w:lang w:eastAsia="sl-SI"/>
              </w:rPr>
              <w:t>IRO 2007</w:t>
            </w:r>
            <w:r>
              <w:rPr>
                <w:rFonts w:ascii="Arial" w:hAnsi="Arial" w:cs="Arial"/>
                <w:b/>
                <w:bCs/>
                <w:sz w:val="20"/>
                <w:szCs w:val="20"/>
                <w:lang w:eastAsia="sl-SI"/>
              </w:rPr>
              <w:t>–</w:t>
            </w:r>
            <w:r w:rsidRPr="00FE1BAC">
              <w:rPr>
                <w:rFonts w:ascii="Arial" w:hAnsi="Arial" w:cs="Arial"/>
                <w:b/>
                <w:bCs/>
                <w:sz w:val="20"/>
                <w:szCs w:val="20"/>
                <w:lang w:eastAsia="sl-SI"/>
              </w:rPr>
              <w:t>2013</w:t>
            </w:r>
          </w:p>
        </w:tc>
        <w:tc>
          <w:tcPr>
            <w:tcW w:w="2300" w:type="dxa"/>
            <w:gridSpan w:val="2"/>
            <w:tcBorders>
              <w:top w:val="single" w:sz="8" w:space="0" w:color="auto"/>
              <w:left w:val="nil"/>
              <w:bottom w:val="single" w:sz="4" w:space="0" w:color="auto"/>
              <w:right w:val="single" w:sz="8" w:space="0" w:color="000000"/>
            </w:tcBorders>
            <w:vAlign w:val="center"/>
          </w:tcPr>
          <w:p w:rsidR="00190A8F" w:rsidRPr="00FE1BAC" w:rsidRDefault="00190A8F" w:rsidP="0016697A">
            <w:pPr>
              <w:spacing w:after="0" w:line="240" w:lineRule="auto"/>
              <w:jc w:val="center"/>
              <w:rPr>
                <w:rFonts w:ascii="Arial" w:hAnsi="Arial" w:cs="Arial"/>
                <w:b/>
                <w:bCs/>
                <w:sz w:val="20"/>
                <w:szCs w:val="20"/>
                <w:lang w:eastAsia="sl-SI"/>
              </w:rPr>
            </w:pPr>
            <w:r w:rsidRPr="00FE1BAC">
              <w:rPr>
                <w:rFonts w:ascii="Arial" w:hAnsi="Arial" w:cs="Arial"/>
                <w:b/>
                <w:bCs/>
                <w:sz w:val="20"/>
                <w:szCs w:val="20"/>
                <w:lang w:eastAsia="sl-SI"/>
              </w:rPr>
              <w:t>IRO 2014</w:t>
            </w:r>
            <w:r>
              <w:rPr>
                <w:rFonts w:ascii="Arial" w:hAnsi="Arial" w:cs="Arial"/>
                <w:b/>
                <w:bCs/>
                <w:sz w:val="20"/>
                <w:szCs w:val="20"/>
                <w:lang w:eastAsia="sl-SI"/>
              </w:rPr>
              <w:t>–</w:t>
            </w:r>
            <w:r w:rsidRPr="00FE1BAC">
              <w:rPr>
                <w:rFonts w:ascii="Arial" w:hAnsi="Arial" w:cs="Arial"/>
                <w:b/>
                <w:bCs/>
                <w:sz w:val="20"/>
                <w:szCs w:val="20"/>
                <w:lang w:eastAsia="sl-SI"/>
              </w:rPr>
              <w:t>2020</w:t>
            </w:r>
          </w:p>
        </w:tc>
      </w:tr>
      <w:tr w:rsidR="00190A8F" w:rsidRPr="00FE1BAC" w:rsidTr="0016697A">
        <w:trPr>
          <w:trHeight w:val="525"/>
        </w:trPr>
        <w:tc>
          <w:tcPr>
            <w:tcW w:w="1940" w:type="dxa"/>
            <w:vMerge/>
            <w:tcBorders>
              <w:top w:val="nil"/>
              <w:left w:val="single" w:sz="8" w:space="0" w:color="auto"/>
              <w:bottom w:val="single" w:sz="8" w:space="0" w:color="000000"/>
              <w:right w:val="single" w:sz="8" w:space="0" w:color="auto"/>
            </w:tcBorders>
            <w:vAlign w:val="center"/>
          </w:tcPr>
          <w:p w:rsidR="00190A8F" w:rsidRPr="00FE1BAC" w:rsidRDefault="00190A8F" w:rsidP="0016697A">
            <w:pPr>
              <w:spacing w:after="0" w:line="240" w:lineRule="auto"/>
              <w:rPr>
                <w:rFonts w:ascii="Arial" w:hAnsi="Arial" w:cs="Arial"/>
                <w:b/>
                <w:bCs/>
                <w:sz w:val="20"/>
                <w:szCs w:val="20"/>
                <w:lang w:eastAsia="sl-SI"/>
              </w:rPr>
            </w:pPr>
          </w:p>
        </w:tc>
        <w:tc>
          <w:tcPr>
            <w:tcW w:w="1040" w:type="dxa"/>
            <w:tcBorders>
              <w:top w:val="nil"/>
              <w:left w:val="nil"/>
              <w:bottom w:val="single" w:sz="8" w:space="0" w:color="auto"/>
              <w:right w:val="single" w:sz="4" w:space="0" w:color="auto"/>
            </w:tcBorders>
            <w:vAlign w:val="bottom"/>
          </w:tcPr>
          <w:p w:rsidR="00190A8F" w:rsidRPr="00FE1BAC" w:rsidRDefault="00190A8F" w:rsidP="0016697A">
            <w:pPr>
              <w:spacing w:after="0" w:line="240" w:lineRule="auto"/>
              <w:rPr>
                <w:rFonts w:ascii="Arial" w:hAnsi="Arial" w:cs="Arial"/>
                <w:sz w:val="20"/>
                <w:szCs w:val="20"/>
                <w:lang w:eastAsia="sl-SI"/>
              </w:rPr>
            </w:pPr>
            <w:r>
              <w:rPr>
                <w:rFonts w:ascii="Arial" w:hAnsi="Arial" w:cs="Arial"/>
                <w:sz w:val="20"/>
                <w:szCs w:val="20"/>
                <w:lang w:eastAsia="sl-SI"/>
              </w:rPr>
              <w:t>v</w:t>
            </w:r>
            <w:r w:rsidRPr="00FE1BAC">
              <w:rPr>
                <w:rFonts w:ascii="Arial" w:hAnsi="Arial" w:cs="Arial"/>
                <w:sz w:val="20"/>
                <w:szCs w:val="20"/>
                <w:lang w:eastAsia="sl-SI"/>
              </w:rPr>
              <w:t>rednost IRO</w:t>
            </w:r>
          </w:p>
        </w:tc>
        <w:tc>
          <w:tcPr>
            <w:tcW w:w="1080" w:type="dxa"/>
            <w:tcBorders>
              <w:top w:val="nil"/>
              <w:left w:val="nil"/>
              <w:bottom w:val="single" w:sz="8"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Pr>
                <w:rFonts w:ascii="Arial" w:hAnsi="Arial" w:cs="Arial"/>
                <w:sz w:val="20"/>
                <w:szCs w:val="20"/>
                <w:lang w:eastAsia="sl-SI"/>
              </w:rPr>
              <w:t>r</w:t>
            </w:r>
            <w:r w:rsidRPr="00FE1BAC">
              <w:rPr>
                <w:rFonts w:ascii="Arial" w:hAnsi="Arial" w:cs="Arial"/>
                <w:sz w:val="20"/>
                <w:szCs w:val="20"/>
                <w:lang w:eastAsia="sl-SI"/>
              </w:rPr>
              <w:t>ang</w:t>
            </w:r>
          </w:p>
        </w:tc>
        <w:tc>
          <w:tcPr>
            <w:tcW w:w="1080" w:type="dxa"/>
            <w:tcBorders>
              <w:top w:val="nil"/>
              <w:left w:val="nil"/>
              <w:bottom w:val="single" w:sz="8" w:space="0" w:color="auto"/>
              <w:right w:val="single" w:sz="4" w:space="0" w:color="auto"/>
            </w:tcBorders>
            <w:vAlign w:val="bottom"/>
          </w:tcPr>
          <w:p w:rsidR="00190A8F" w:rsidRPr="00FE1BAC" w:rsidRDefault="00190A8F" w:rsidP="0016697A">
            <w:pPr>
              <w:spacing w:after="0" w:line="240" w:lineRule="auto"/>
              <w:rPr>
                <w:rFonts w:ascii="Arial" w:hAnsi="Arial" w:cs="Arial"/>
                <w:sz w:val="20"/>
                <w:szCs w:val="20"/>
                <w:lang w:eastAsia="sl-SI"/>
              </w:rPr>
            </w:pPr>
            <w:r>
              <w:rPr>
                <w:rFonts w:ascii="Arial" w:hAnsi="Arial" w:cs="Arial"/>
                <w:sz w:val="20"/>
                <w:szCs w:val="20"/>
                <w:lang w:eastAsia="sl-SI"/>
              </w:rPr>
              <w:t>v</w:t>
            </w:r>
            <w:r w:rsidRPr="00FE1BAC">
              <w:rPr>
                <w:rFonts w:ascii="Arial" w:hAnsi="Arial" w:cs="Arial"/>
                <w:sz w:val="20"/>
                <w:szCs w:val="20"/>
                <w:lang w:eastAsia="sl-SI"/>
              </w:rPr>
              <w:t>rednost IRO</w:t>
            </w:r>
          </w:p>
        </w:tc>
        <w:tc>
          <w:tcPr>
            <w:tcW w:w="1220" w:type="dxa"/>
            <w:tcBorders>
              <w:top w:val="nil"/>
              <w:left w:val="nil"/>
              <w:bottom w:val="single" w:sz="8"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Pr>
                <w:rFonts w:ascii="Arial" w:hAnsi="Arial" w:cs="Arial"/>
                <w:sz w:val="20"/>
                <w:szCs w:val="20"/>
                <w:lang w:eastAsia="sl-SI"/>
              </w:rPr>
              <w:t>r</w:t>
            </w:r>
            <w:r w:rsidRPr="00FE1BAC">
              <w:rPr>
                <w:rFonts w:ascii="Arial" w:hAnsi="Arial" w:cs="Arial"/>
                <w:sz w:val="20"/>
                <w:szCs w:val="20"/>
                <w:lang w:eastAsia="sl-SI"/>
              </w:rPr>
              <w:t>ang</w:t>
            </w:r>
          </w:p>
        </w:tc>
      </w:tr>
      <w:tr w:rsidR="00190A8F" w:rsidRPr="00FE1BAC" w:rsidTr="0016697A">
        <w:trPr>
          <w:trHeight w:val="255"/>
        </w:trPr>
        <w:tc>
          <w:tcPr>
            <w:tcW w:w="1940" w:type="dxa"/>
            <w:tcBorders>
              <w:top w:val="single" w:sz="4" w:space="0" w:color="auto"/>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sz w:val="20"/>
                <w:szCs w:val="20"/>
                <w:lang w:eastAsia="sl-SI"/>
              </w:rPr>
            </w:pPr>
            <w:r w:rsidRPr="00FE1BAC">
              <w:rPr>
                <w:rFonts w:ascii="Arial" w:hAnsi="Arial" w:cs="Arial"/>
                <w:sz w:val="20"/>
                <w:szCs w:val="20"/>
                <w:lang w:eastAsia="sl-SI"/>
              </w:rPr>
              <w:t> </w:t>
            </w:r>
          </w:p>
        </w:tc>
        <w:tc>
          <w:tcPr>
            <w:tcW w:w="1040" w:type="dxa"/>
            <w:tcBorders>
              <w:top w:val="single" w:sz="4" w:space="0" w:color="auto"/>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 </w:t>
            </w:r>
          </w:p>
        </w:tc>
        <w:tc>
          <w:tcPr>
            <w:tcW w:w="1080" w:type="dxa"/>
            <w:tcBorders>
              <w:top w:val="single" w:sz="4" w:space="0" w:color="auto"/>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 </w:t>
            </w:r>
          </w:p>
        </w:tc>
        <w:tc>
          <w:tcPr>
            <w:tcW w:w="1080" w:type="dxa"/>
            <w:tcBorders>
              <w:top w:val="single" w:sz="4" w:space="0" w:color="auto"/>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 </w:t>
            </w:r>
          </w:p>
        </w:tc>
        <w:tc>
          <w:tcPr>
            <w:tcW w:w="1220" w:type="dxa"/>
            <w:tcBorders>
              <w:top w:val="single" w:sz="4" w:space="0" w:color="auto"/>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 </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Pomurska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159,5</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167,9</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Notranjsko-kraška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127,0</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2</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103,5</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6</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Podravska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116,8</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3</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116,2</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3</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Spodnjeposavska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116,8</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4</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101,8</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7</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Zasavska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113,9</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5</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138,6</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2</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Koroška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103,9</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6</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115,0</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4</w:t>
            </w:r>
          </w:p>
        </w:tc>
      </w:tr>
      <w:tr w:rsidR="00190A8F" w:rsidRPr="00FE1BAC" w:rsidTr="0016697A">
        <w:trPr>
          <w:trHeight w:val="510"/>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Jugovzhodna Slovenija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101,7</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7</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66,1</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Goriška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93,8</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8</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106,6</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5</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Savinjska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92,3</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9</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101,5</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8</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Gorenjska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83,1</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76,8</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9</w:t>
            </w:r>
          </w:p>
        </w:tc>
      </w:tr>
      <w:tr w:rsidR="00190A8F" w:rsidRPr="00FE1BAC" w:rsidTr="0016697A">
        <w:trPr>
          <w:trHeight w:val="255"/>
        </w:trPr>
        <w:tc>
          <w:tcPr>
            <w:tcW w:w="1940" w:type="dxa"/>
            <w:tcBorders>
              <w:top w:val="nil"/>
              <w:left w:val="single" w:sz="8" w:space="0" w:color="auto"/>
              <w:bottom w:val="single" w:sz="4"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Obalno-kraška</w:t>
            </w:r>
          </w:p>
        </w:tc>
        <w:tc>
          <w:tcPr>
            <w:tcW w:w="104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82,4</w:t>
            </w:r>
          </w:p>
        </w:tc>
        <w:tc>
          <w:tcPr>
            <w:tcW w:w="1080" w:type="dxa"/>
            <w:tcBorders>
              <w:top w:val="nil"/>
              <w:left w:val="nil"/>
              <w:bottom w:val="single" w:sz="4"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11</w:t>
            </w:r>
          </w:p>
        </w:tc>
        <w:tc>
          <w:tcPr>
            <w:tcW w:w="1080" w:type="dxa"/>
            <w:tcBorders>
              <w:top w:val="nil"/>
              <w:left w:val="nil"/>
              <w:bottom w:val="single" w:sz="4"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66,1</w:t>
            </w:r>
          </w:p>
        </w:tc>
        <w:tc>
          <w:tcPr>
            <w:tcW w:w="1220" w:type="dxa"/>
            <w:tcBorders>
              <w:top w:val="nil"/>
              <w:left w:val="nil"/>
              <w:bottom w:val="single" w:sz="4"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10</w:t>
            </w:r>
          </w:p>
        </w:tc>
      </w:tr>
      <w:tr w:rsidR="00190A8F" w:rsidRPr="00FE1BAC" w:rsidTr="0016697A">
        <w:trPr>
          <w:trHeight w:val="270"/>
        </w:trPr>
        <w:tc>
          <w:tcPr>
            <w:tcW w:w="1940" w:type="dxa"/>
            <w:tcBorders>
              <w:top w:val="nil"/>
              <w:left w:val="single" w:sz="8" w:space="0" w:color="auto"/>
              <w:bottom w:val="single" w:sz="8" w:space="0" w:color="auto"/>
              <w:right w:val="single" w:sz="8" w:space="0" w:color="auto"/>
            </w:tcBorders>
            <w:vAlign w:val="bottom"/>
          </w:tcPr>
          <w:p w:rsidR="00190A8F" w:rsidRPr="00FE1BAC" w:rsidRDefault="00190A8F" w:rsidP="0016697A">
            <w:pPr>
              <w:spacing w:after="0" w:line="240" w:lineRule="auto"/>
              <w:rPr>
                <w:rFonts w:ascii="Arial" w:hAnsi="Arial" w:cs="Arial"/>
                <w:b/>
                <w:bCs/>
                <w:sz w:val="20"/>
                <w:szCs w:val="20"/>
                <w:lang w:eastAsia="sl-SI"/>
              </w:rPr>
            </w:pPr>
            <w:r w:rsidRPr="00FE1BAC">
              <w:rPr>
                <w:rFonts w:ascii="Arial" w:hAnsi="Arial" w:cs="Arial"/>
                <w:b/>
                <w:bCs/>
                <w:sz w:val="20"/>
                <w:szCs w:val="20"/>
                <w:lang w:eastAsia="sl-SI"/>
              </w:rPr>
              <w:t>Osrednjeslovenska</w:t>
            </w:r>
          </w:p>
        </w:tc>
        <w:tc>
          <w:tcPr>
            <w:tcW w:w="1040" w:type="dxa"/>
            <w:tcBorders>
              <w:top w:val="nil"/>
              <w:left w:val="nil"/>
              <w:bottom w:val="single" w:sz="8"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8,7</w:t>
            </w:r>
          </w:p>
        </w:tc>
        <w:tc>
          <w:tcPr>
            <w:tcW w:w="1080" w:type="dxa"/>
            <w:tcBorders>
              <w:top w:val="nil"/>
              <w:left w:val="nil"/>
              <w:bottom w:val="single" w:sz="8" w:space="0" w:color="auto"/>
              <w:right w:val="single" w:sz="4"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12</w:t>
            </w:r>
          </w:p>
        </w:tc>
        <w:tc>
          <w:tcPr>
            <w:tcW w:w="1080" w:type="dxa"/>
            <w:tcBorders>
              <w:top w:val="nil"/>
              <w:left w:val="nil"/>
              <w:bottom w:val="single" w:sz="8" w:space="0" w:color="auto"/>
              <w:right w:val="single" w:sz="4" w:space="0" w:color="auto"/>
            </w:tcBorders>
            <w:noWrap/>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39,6</w:t>
            </w:r>
          </w:p>
        </w:tc>
        <w:tc>
          <w:tcPr>
            <w:tcW w:w="1220" w:type="dxa"/>
            <w:tcBorders>
              <w:top w:val="nil"/>
              <w:left w:val="nil"/>
              <w:bottom w:val="single" w:sz="8" w:space="0" w:color="auto"/>
              <w:right w:val="single" w:sz="8" w:space="0" w:color="auto"/>
            </w:tcBorders>
            <w:vAlign w:val="center"/>
          </w:tcPr>
          <w:p w:rsidR="00190A8F" w:rsidRPr="00FE1BAC" w:rsidRDefault="00190A8F" w:rsidP="0016697A">
            <w:pPr>
              <w:spacing w:after="0" w:line="240" w:lineRule="auto"/>
              <w:jc w:val="center"/>
              <w:rPr>
                <w:rFonts w:ascii="Arial" w:hAnsi="Arial" w:cs="Arial"/>
                <w:sz w:val="20"/>
                <w:szCs w:val="20"/>
                <w:lang w:eastAsia="sl-SI"/>
              </w:rPr>
            </w:pPr>
            <w:r w:rsidRPr="00FE1BAC">
              <w:rPr>
                <w:rFonts w:ascii="Arial" w:hAnsi="Arial" w:cs="Arial"/>
                <w:sz w:val="20"/>
                <w:szCs w:val="20"/>
                <w:lang w:eastAsia="sl-SI"/>
              </w:rPr>
              <w:t>12</w:t>
            </w:r>
          </w:p>
        </w:tc>
      </w:tr>
    </w:tbl>
    <w:p w:rsidR="00190A8F" w:rsidRPr="00FE1BAC" w:rsidRDefault="00190A8F">
      <w:pPr>
        <w:spacing w:after="0" w:line="240" w:lineRule="auto"/>
        <w:rPr>
          <w:rFonts w:ascii="Arial" w:hAnsi="Arial" w:cs="Arial"/>
          <w:color w:val="000000"/>
          <w:sz w:val="20"/>
          <w:szCs w:val="20"/>
        </w:rPr>
      </w:pPr>
    </w:p>
    <w:p w:rsidR="00190A8F" w:rsidRPr="00FE1BAC" w:rsidRDefault="00190A8F">
      <w:pPr>
        <w:spacing w:after="0" w:line="240" w:lineRule="auto"/>
        <w:rPr>
          <w:rFonts w:ascii="Arial" w:hAnsi="Arial" w:cs="Arial"/>
          <w:color w:val="000000"/>
          <w:sz w:val="20"/>
          <w:szCs w:val="20"/>
        </w:rPr>
      </w:pPr>
    </w:p>
    <w:p w:rsidR="00190A8F" w:rsidRPr="00FE1BAC" w:rsidRDefault="00190A8F">
      <w:pPr>
        <w:spacing w:after="0" w:line="240" w:lineRule="auto"/>
        <w:rPr>
          <w:rFonts w:ascii="Arial" w:hAnsi="Arial" w:cs="Arial"/>
          <w:color w:val="000000"/>
          <w:sz w:val="20"/>
          <w:szCs w:val="20"/>
        </w:rPr>
      </w:pPr>
    </w:p>
    <w:sectPr w:rsidR="00190A8F" w:rsidRPr="00FE1BAC" w:rsidSect="002D15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64" w:rsidRDefault="008B1664" w:rsidP="00132FAB">
      <w:pPr>
        <w:spacing w:after="0" w:line="240" w:lineRule="auto"/>
      </w:pPr>
      <w:r>
        <w:separator/>
      </w:r>
    </w:p>
  </w:endnote>
  <w:endnote w:type="continuationSeparator" w:id="0">
    <w:p w:rsidR="008B1664" w:rsidRDefault="008B1664" w:rsidP="0013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64" w:rsidRDefault="008B1664">
    <w:pPr>
      <w:pStyle w:val="Noga"/>
      <w:jc w:val="center"/>
    </w:pPr>
    <w:r>
      <w:fldChar w:fldCharType="begin"/>
    </w:r>
    <w:r>
      <w:instrText>PAGE   \* MERGEFORMAT</w:instrText>
    </w:r>
    <w:r>
      <w:fldChar w:fldCharType="separate"/>
    </w:r>
    <w:r w:rsidR="000C4006">
      <w:rPr>
        <w:noProof/>
      </w:rPr>
      <w:t>12</w:t>
    </w:r>
    <w:r>
      <w:rPr>
        <w:noProof/>
      </w:rPr>
      <w:fldChar w:fldCharType="end"/>
    </w:r>
  </w:p>
  <w:p w:rsidR="008B1664" w:rsidRDefault="008B1664" w:rsidP="00F70160">
    <w:pPr>
      <w:pStyle w:val="Noga"/>
      <w:tabs>
        <w:tab w:val="clear" w:pos="4536"/>
        <w:tab w:val="clear" w:pos="9072"/>
        <w:tab w:val="left" w:pos="2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64" w:rsidRDefault="008B1664" w:rsidP="00132FAB">
      <w:pPr>
        <w:spacing w:after="0" w:line="240" w:lineRule="auto"/>
      </w:pPr>
      <w:r>
        <w:separator/>
      </w:r>
    </w:p>
  </w:footnote>
  <w:footnote w:type="continuationSeparator" w:id="0">
    <w:p w:rsidR="008B1664" w:rsidRDefault="008B1664" w:rsidP="00132FAB">
      <w:pPr>
        <w:spacing w:after="0" w:line="240" w:lineRule="auto"/>
      </w:pPr>
      <w:r>
        <w:continuationSeparator/>
      </w:r>
    </w:p>
  </w:footnote>
  <w:footnote w:id="1">
    <w:p w:rsidR="008B1664" w:rsidRDefault="008B1664">
      <w:pPr>
        <w:pStyle w:val="Sprotnaopomba-besedilo"/>
      </w:pPr>
      <w:r>
        <w:rPr>
          <w:rStyle w:val="Sprotnaopomba-sklic"/>
        </w:rPr>
        <w:footnoteRef/>
      </w:r>
      <w:r>
        <w:t xml:space="preserve"> </w:t>
      </w:r>
      <w:r w:rsidRPr="000770CD">
        <w:rPr>
          <w:rFonts w:ascii="Arial" w:hAnsi="Arial"/>
          <w:sz w:val="16"/>
          <w:szCs w:val="16"/>
        </w:rPr>
        <w:t>Na ravni Slovenije je bil delež investicij v rabljena sredstva od vseh (nova in rabljena) v povprečju treh let (2009</w:t>
      </w:r>
      <w:r w:rsidRPr="00A46385">
        <w:rPr>
          <w:rFonts w:ascii="Arial" w:hAnsi="Arial"/>
          <w:sz w:val="16"/>
          <w:szCs w:val="16"/>
        </w:rPr>
        <w:t>–</w:t>
      </w:r>
      <w:r w:rsidRPr="000770CD">
        <w:rPr>
          <w:rFonts w:ascii="Arial" w:hAnsi="Arial"/>
          <w:sz w:val="16"/>
          <w:szCs w:val="16"/>
        </w:rPr>
        <w:t>2011) 4,9</w:t>
      </w:r>
      <w:r w:rsidRPr="00A46385">
        <w:rPr>
          <w:rFonts w:ascii="Arial" w:hAnsi="Arial"/>
          <w:sz w:val="16"/>
          <w:szCs w:val="16"/>
        </w:rPr>
        <w:t> </w:t>
      </w:r>
      <w:r w:rsidRPr="000770CD">
        <w:rPr>
          <w:rFonts w:ascii="Arial" w:hAnsi="Arial"/>
          <w:sz w:val="16"/>
          <w:szCs w:val="16"/>
        </w:rPr>
        <w:t>%. Tako je delež investicij v nova osnovna sredstva v povprečju v Sloveniji znašal 12,8</w:t>
      </w:r>
      <w:r w:rsidRPr="00A46385">
        <w:rPr>
          <w:rFonts w:ascii="Arial" w:hAnsi="Arial"/>
          <w:sz w:val="16"/>
          <w:szCs w:val="16"/>
        </w:rPr>
        <w:t> </w:t>
      </w:r>
      <w:r w:rsidRPr="000770CD">
        <w:rPr>
          <w:rFonts w:ascii="Arial" w:hAnsi="Arial"/>
          <w:sz w:val="16"/>
          <w:szCs w:val="16"/>
        </w:rPr>
        <w:t>% v obdobju 2009</w:t>
      </w:r>
      <w:r w:rsidRPr="00A46385">
        <w:rPr>
          <w:rFonts w:ascii="Arial" w:hAnsi="Arial"/>
          <w:sz w:val="16"/>
          <w:szCs w:val="16"/>
        </w:rPr>
        <w:t>–</w:t>
      </w:r>
      <w:r w:rsidRPr="000770CD">
        <w:rPr>
          <w:rFonts w:ascii="Arial" w:hAnsi="Arial"/>
          <w:sz w:val="16"/>
          <w:szCs w:val="16"/>
        </w:rPr>
        <w:t>2011, v vsa sredstva (nova in rabljena) pa 13,4</w:t>
      </w:r>
      <w:r w:rsidRPr="00A46385">
        <w:rPr>
          <w:rFonts w:ascii="Arial" w:hAnsi="Arial"/>
          <w:sz w:val="16"/>
          <w:szCs w:val="16"/>
        </w:rPr>
        <w:t> </w:t>
      </w:r>
      <w:r w:rsidRPr="000770CD">
        <w:rPr>
          <w:rFonts w:ascii="Arial" w:hAnsi="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8BD"/>
    <w:multiLevelType w:val="hybridMultilevel"/>
    <w:tmpl w:val="0D688CBE"/>
    <w:lvl w:ilvl="0" w:tplc="B926785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nsid w:val="113715D7"/>
    <w:multiLevelType w:val="hybridMultilevel"/>
    <w:tmpl w:val="1C069C66"/>
    <w:lvl w:ilvl="0" w:tplc="5DE0BAE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81213E"/>
    <w:multiLevelType w:val="hybridMultilevel"/>
    <w:tmpl w:val="CA9C4A02"/>
    <w:lvl w:ilvl="0" w:tplc="E3FAA9C0">
      <w:start w:val="1"/>
      <w:numFmt w:val="decimal"/>
      <w:lvlText w:val="%1."/>
      <w:lvlJc w:val="right"/>
      <w:pPr>
        <w:ind w:left="-414" w:hanging="360"/>
      </w:pPr>
      <w:rPr>
        <w:rFonts w:cs="Times New Roman" w:hint="default"/>
      </w:rPr>
    </w:lvl>
    <w:lvl w:ilvl="1" w:tplc="04240019" w:tentative="1">
      <w:start w:val="1"/>
      <w:numFmt w:val="lowerLetter"/>
      <w:lvlText w:val="%2."/>
      <w:lvlJc w:val="left"/>
      <w:pPr>
        <w:ind w:left="306" w:hanging="360"/>
      </w:pPr>
      <w:rPr>
        <w:rFonts w:cs="Times New Roman"/>
      </w:rPr>
    </w:lvl>
    <w:lvl w:ilvl="2" w:tplc="0424001B" w:tentative="1">
      <w:start w:val="1"/>
      <w:numFmt w:val="lowerRoman"/>
      <w:lvlText w:val="%3."/>
      <w:lvlJc w:val="right"/>
      <w:pPr>
        <w:ind w:left="1026" w:hanging="180"/>
      </w:pPr>
      <w:rPr>
        <w:rFonts w:cs="Times New Roman"/>
      </w:rPr>
    </w:lvl>
    <w:lvl w:ilvl="3" w:tplc="0424000F" w:tentative="1">
      <w:start w:val="1"/>
      <w:numFmt w:val="decimal"/>
      <w:lvlText w:val="%4."/>
      <w:lvlJc w:val="left"/>
      <w:pPr>
        <w:ind w:left="1746" w:hanging="360"/>
      </w:pPr>
      <w:rPr>
        <w:rFonts w:cs="Times New Roman"/>
      </w:rPr>
    </w:lvl>
    <w:lvl w:ilvl="4" w:tplc="04240019" w:tentative="1">
      <w:start w:val="1"/>
      <w:numFmt w:val="lowerLetter"/>
      <w:lvlText w:val="%5."/>
      <w:lvlJc w:val="left"/>
      <w:pPr>
        <w:ind w:left="2466" w:hanging="360"/>
      </w:pPr>
      <w:rPr>
        <w:rFonts w:cs="Times New Roman"/>
      </w:rPr>
    </w:lvl>
    <w:lvl w:ilvl="5" w:tplc="0424001B" w:tentative="1">
      <w:start w:val="1"/>
      <w:numFmt w:val="lowerRoman"/>
      <w:lvlText w:val="%6."/>
      <w:lvlJc w:val="right"/>
      <w:pPr>
        <w:ind w:left="3186" w:hanging="180"/>
      </w:pPr>
      <w:rPr>
        <w:rFonts w:cs="Times New Roman"/>
      </w:rPr>
    </w:lvl>
    <w:lvl w:ilvl="6" w:tplc="0424000F" w:tentative="1">
      <w:start w:val="1"/>
      <w:numFmt w:val="decimal"/>
      <w:lvlText w:val="%7."/>
      <w:lvlJc w:val="left"/>
      <w:pPr>
        <w:ind w:left="3906" w:hanging="360"/>
      </w:pPr>
      <w:rPr>
        <w:rFonts w:cs="Times New Roman"/>
      </w:rPr>
    </w:lvl>
    <w:lvl w:ilvl="7" w:tplc="04240019" w:tentative="1">
      <w:start w:val="1"/>
      <w:numFmt w:val="lowerLetter"/>
      <w:lvlText w:val="%8."/>
      <w:lvlJc w:val="left"/>
      <w:pPr>
        <w:ind w:left="4626" w:hanging="360"/>
      </w:pPr>
      <w:rPr>
        <w:rFonts w:cs="Times New Roman"/>
      </w:rPr>
    </w:lvl>
    <w:lvl w:ilvl="8" w:tplc="0424001B" w:tentative="1">
      <w:start w:val="1"/>
      <w:numFmt w:val="lowerRoman"/>
      <w:lvlText w:val="%9."/>
      <w:lvlJc w:val="right"/>
      <w:pPr>
        <w:ind w:left="5346" w:hanging="180"/>
      </w:pPr>
      <w:rPr>
        <w:rFonts w:cs="Times New Roman"/>
      </w:rPr>
    </w:lvl>
  </w:abstractNum>
  <w:abstractNum w:abstractNumId="3">
    <w:nsid w:val="2AD60DD8"/>
    <w:multiLevelType w:val="multilevel"/>
    <w:tmpl w:val="1A9A0F2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2B422F2A"/>
    <w:multiLevelType w:val="hybridMultilevel"/>
    <w:tmpl w:val="F8F2DFA8"/>
    <w:lvl w:ilvl="0" w:tplc="0424000F">
      <w:start w:val="1"/>
      <w:numFmt w:val="decimal"/>
      <w:lvlText w:val="%1."/>
      <w:lvlJc w:val="left"/>
      <w:pPr>
        <w:ind w:left="960" w:hanging="360"/>
      </w:pPr>
      <w:rPr>
        <w:rFonts w:cs="Times New Roman" w:hint="default"/>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5">
    <w:nsid w:val="2B8255C6"/>
    <w:multiLevelType w:val="hybridMultilevel"/>
    <w:tmpl w:val="3608628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32256175"/>
    <w:multiLevelType w:val="hybridMultilevel"/>
    <w:tmpl w:val="35CC4B96"/>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nsid w:val="4D9766CC"/>
    <w:multiLevelType w:val="hybridMultilevel"/>
    <w:tmpl w:val="F8F2DFA8"/>
    <w:lvl w:ilvl="0" w:tplc="0424000F">
      <w:start w:val="1"/>
      <w:numFmt w:val="decimal"/>
      <w:lvlText w:val="%1."/>
      <w:lvlJc w:val="left"/>
      <w:pPr>
        <w:ind w:left="960" w:hanging="360"/>
      </w:pPr>
      <w:rPr>
        <w:rFonts w:cs="Times New Roman" w:hint="default"/>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8">
    <w:nsid w:val="551D0C46"/>
    <w:multiLevelType w:val="hybridMultilevel"/>
    <w:tmpl w:val="80547910"/>
    <w:lvl w:ilvl="0" w:tplc="1982014E">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618161D7"/>
    <w:multiLevelType w:val="hybridMultilevel"/>
    <w:tmpl w:val="99723BE2"/>
    <w:lvl w:ilvl="0" w:tplc="39CC9806">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B"/>
    <w:rsid w:val="000048D3"/>
    <w:rsid w:val="00006471"/>
    <w:rsid w:val="00012A39"/>
    <w:rsid w:val="000138E4"/>
    <w:rsid w:val="0001645B"/>
    <w:rsid w:val="0002145E"/>
    <w:rsid w:val="000268A0"/>
    <w:rsid w:val="000323E0"/>
    <w:rsid w:val="0004670E"/>
    <w:rsid w:val="0005205B"/>
    <w:rsid w:val="000770CD"/>
    <w:rsid w:val="00093C32"/>
    <w:rsid w:val="000A174A"/>
    <w:rsid w:val="000A674C"/>
    <w:rsid w:val="000B0476"/>
    <w:rsid w:val="000C4006"/>
    <w:rsid w:val="000D6FA4"/>
    <w:rsid w:val="000D795F"/>
    <w:rsid w:val="000E0B1C"/>
    <w:rsid w:val="000E1121"/>
    <w:rsid w:val="000F2D0D"/>
    <w:rsid w:val="001003F3"/>
    <w:rsid w:val="00132FAB"/>
    <w:rsid w:val="0013583E"/>
    <w:rsid w:val="001406F4"/>
    <w:rsid w:val="001414AB"/>
    <w:rsid w:val="001425B9"/>
    <w:rsid w:val="00154424"/>
    <w:rsid w:val="0016697A"/>
    <w:rsid w:val="001757D2"/>
    <w:rsid w:val="001816FB"/>
    <w:rsid w:val="00190A8F"/>
    <w:rsid w:val="001943F4"/>
    <w:rsid w:val="00195214"/>
    <w:rsid w:val="001957CE"/>
    <w:rsid w:val="00196200"/>
    <w:rsid w:val="00196798"/>
    <w:rsid w:val="001A40FE"/>
    <w:rsid w:val="001B3278"/>
    <w:rsid w:val="001C0E8B"/>
    <w:rsid w:val="001C5BED"/>
    <w:rsid w:val="001F560F"/>
    <w:rsid w:val="001F6653"/>
    <w:rsid w:val="00217A26"/>
    <w:rsid w:val="00223677"/>
    <w:rsid w:val="00286F56"/>
    <w:rsid w:val="002953D2"/>
    <w:rsid w:val="00295F8F"/>
    <w:rsid w:val="002C249A"/>
    <w:rsid w:val="002D152A"/>
    <w:rsid w:val="002D1D82"/>
    <w:rsid w:val="002D315A"/>
    <w:rsid w:val="002D472C"/>
    <w:rsid w:val="002F6CB7"/>
    <w:rsid w:val="00311CC0"/>
    <w:rsid w:val="0031463B"/>
    <w:rsid w:val="003163F7"/>
    <w:rsid w:val="0032390F"/>
    <w:rsid w:val="00343C27"/>
    <w:rsid w:val="00347001"/>
    <w:rsid w:val="003549F6"/>
    <w:rsid w:val="00360549"/>
    <w:rsid w:val="00362B03"/>
    <w:rsid w:val="003654E6"/>
    <w:rsid w:val="0037121C"/>
    <w:rsid w:val="00376196"/>
    <w:rsid w:val="00381AB3"/>
    <w:rsid w:val="00392D58"/>
    <w:rsid w:val="003A152E"/>
    <w:rsid w:val="003A5440"/>
    <w:rsid w:val="003B1FCD"/>
    <w:rsid w:val="003B4916"/>
    <w:rsid w:val="003B7F2C"/>
    <w:rsid w:val="003E224F"/>
    <w:rsid w:val="003E699D"/>
    <w:rsid w:val="003E7BD1"/>
    <w:rsid w:val="003F2C3C"/>
    <w:rsid w:val="003F6812"/>
    <w:rsid w:val="004016DD"/>
    <w:rsid w:val="00404020"/>
    <w:rsid w:val="00407FAF"/>
    <w:rsid w:val="004254F6"/>
    <w:rsid w:val="00430D11"/>
    <w:rsid w:val="00441957"/>
    <w:rsid w:val="00471C02"/>
    <w:rsid w:val="00477FBD"/>
    <w:rsid w:val="004809A9"/>
    <w:rsid w:val="004B4179"/>
    <w:rsid w:val="004C1354"/>
    <w:rsid w:val="004E5C90"/>
    <w:rsid w:val="004F11E6"/>
    <w:rsid w:val="005302B7"/>
    <w:rsid w:val="00533F7D"/>
    <w:rsid w:val="00541FBE"/>
    <w:rsid w:val="00547D8F"/>
    <w:rsid w:val="0055064B"/>
    <w:rsid w:val="00561244"/>
    <w:rsid w:val="00562339"/>
    <w:rsid w:val="00587E4C"/>
    <w:rsid w:val="005951FE"/>
    <w:rsid w:val="005A659F"/>
    <w:rsid w:val="005B7D86"/>
    <w:rsid w:val="005C05CA"/>
    <w:rsid w:val="005D7497"/>
    <w:rsid w:val="005D7684"/>
    <w:rsid w:val="00600BDC"/>
    <w:rsid w:val="0060324D"/>
    <w:rsid w:val="0061609F"/>
    <w:rsid w:val="00625DC1"/>
    <w:rsid w:val="00681176"/>
    <w:rsid w:val="006A4BA1"/>
    <w:rsid w:val="006C572C"/>
    <w:rsid w:val="006D7826"/>
    <w:rsid w:val="006E0A17"/>
    <w:rsid w:val="006F3DEC"/>
    <w:rsid w:val="007201BC"/>
    <w:rsid w:val="00722140"/>
    <w:rsid w:val="007248E3"/>
    <w:rsid w:val="00727AC6"/>
    <w:rsid w:val="00732C79"/>
    <w:rsid w:val="00741B37"/>
    <w:rsid w:val="007438AF"/>
    <w:rsid w:val="007653CD"/>
    <w:rsid w:val="00767EBD"/>
    <w:rsid w:val="007717F8"/>
    <w:rsid w:val="00777D18"/>
    <w:rsid w:val="00781322"/>
    <w:rsid w:val="0078231B"/>
    <w:rsid w:val="00787676"/>
    <w:rsid w:val="007A7E6F"/>
    <w:rsid w:val="007B468E"/>
    <w:rsid w:val="007D78AC"/>
    <w:rsid w:val="007E514A"/>
    <w:rsid w:val="00803407"/>
    <w:rsid w:val="00823815"/>
    <w:rsid w:val="00823C5C"/>
    <w:rsid w:val="00837723"/>
    <w:rsid w:val="00884BB5"/>
    <w:rsid w:val="008900AD"/>
    <w:rsid w:val="0089226C"/>
    <w:rsid w:val="008B1664"/>
    <w:rsid w:val="008B217A"/>
    <w:rsid w:val="008B4AAD"/>
    <w:rsid w:val="00907496"/>
    <w:rsid w:val="009140E8"/>
    <w:rsid w:val="00935181"/>
    <w:rsid w:val="00940781"/>
    <w:rsid w:val="009602DB"/>
    <w:rsid w:val="00970E6E"/>
    <w:rsid w:val="00983E9F"/>
    <w:rsid w:val="00992B77"/>
    <w:rsid w:val="009A409E"/>
    <w:rsid w:val="009B1CEF"/>
    <w:rsid w:val="009B43A5"/>
    <w:rsid w:val="009B7215"/>
    <w:rsid w:val="009B7472"/>
    <w:rsid w:val="009C1768"/>
    <w:rsid w:val="009C1B8C"/>
    <w:rsid w:val="009C1BFB"/>
    <w:rsid w:val="009E3219"/>
    <w:rsid w:val="009E4FB4"/>
    <w:rsid w:val="009F3EC4"/>
    <w:rsid w:val="009F4ED8"/>
    <w:rsid w:val="009F61E0"/>
    <w:rsid w:val="00A26717"/>
    <w:rsid w:val="00A443AC"/>
    <w:rsid w:val="00A448EF"/>
    <w:rsid w:val="00A46385"/>
    <w:rsid w:val="00A47364"/>
    <w:rsid w:val="00A50E88"/>
    <w:rsid w:val="00A70689"/>
    <w:rsid w:val="00A72420"/>
    <w:rsid w:val="00A821F7"/>
    <w:rsid w:val="00A96FA0"/>
    <w:rsid w:val="00AB05E9"/>
    <w:rsid w:val="00AB0B70"/>
    <w:rsid w:val="00AB7FA5"/>
    <w:rsid w:val="00AC4B4A"/>
    <w:rsid w:val="00AD0BD1"/>
    <w:rsid w:val="00AD7204"/>
    <w:rsid w:val="00AE01AB"/>
    <w:rsid w:val="00AE260F"/>
    <w:rsid w:val="00B01B3B"/>
    <w:rsid w:val="00B152D8"/>
    <w:rsid w:val="00B169CE"/>
    <w:rsid w:val="00B33BD7"/>
    <w:rsid w:val="00B52B5E"/>
    <w:rsid w:val="00B5586D"/>
    <w:rsid w:val="00B63548"/>
    <w:rsid w:val="00B65A63"/>
    <w:rsid w:val="00B93BC0"/>
    <w:rsid w:val="00BA2841"/>
    <w:rsid w:val="00BA42E7"/>
    <w:rsid w:val="00BA4444"/>
    <w:rsid w:val="00BC388D"/>
    <w:rsid w:val="00BD7D77"/>
    <w:rsid w:val="00BE236F"/>
    <w:rsid w:val="00BF1F60"/>
    <w:rsid w:val="00C039C9"/>
    <w:rsid w:val="00C114A6"/>
    <w:rsid w:val="00C14CAF"/>
    <w:rsid w:val="00C34CC4"/>
    <w:rsid w:val="00C35E39"/>
    <w:rsid w:val="00C371CB"/>
    <w:rsid w:val="00C461AC"/>
    <w:rsid w:val="00C51E46"/>
    <w:rsid w:val="00C6353E"/>
    <w:rsid w:val="00C67178"/>
    <w:rsid w:val="00C777FB"/>
    <w:rsid w:val="00C91EC1"/>
    <w:rsid w:val="00C92BA7"/>
    <w:rsid w:val="00C9331A"/>
    <w:rsid w:val="00C965D0"/>
    <w:rsid w:val="00C967E8"/>
    <w:rsid w:val="00CB639A"/>
    <w:rsid w:val="00CB7629"/>
    <w:rsid w:val="00CC05B2"/>
    <w:rsid w:val="00CC6481"/>
    <w:rsid w:val="00CC7D83"/>
    <w:rsid w:val="00CE4AE2"/>
    <w:rsid w:val="00D02DD4"/>
    <w:rsid w:val="00D058FB"/>
    <w:rsid w:val="00D14296"/>
    <w:rsid w:val="00D20C81"/>
    <w:rsid w:val="00D223C1"/>
    <w:rsid w:val="00D22573"/>
    <w:rsid w:val="00D47841"/>
    <w:rsid w:val="00D608E5"/>
    <w:rsid w:val="00D62550"/>
    <w:rsid w:val="00D638B5"/>
    <w:rsid w:val="00D71CC8"/>
    <w:rsid w:val="00D836C4"/>
    <w:rsid w:val="00D91077"/>
    <w:rsid w:val="00D92EF8"/>
    <w:rsid w:val="00D9737F"/>
    <w:rsid w:val="00DC10FF"/>
    <w:rsid w:val="00DC237A"/>
    <w:rsid w:val="00DD1DFF"/>
    <w:rsid w:val="00DD5128"/>
    <w:rsid w:val="00DF270C"/>
    <w:rsid w:val="00DF383D"/>
    <w:rsid w:val="00E02996"/>
    <w:rsid w:val="00E04CE8"/>
    <w:rsid w:val="00E07DF1"/>
    <w:rsid w:val="00E208D6"/>
    <w:rsid w:val="00E20C93"/>
    <w:rsid w:val="00E4382F"/>
    <w:rsid w:val="00E449BC"/>
    <w:rsid w:val="00E51F6C"/>
    <w:rsid w:val="00E742B4"/>
    <w:rsid w:val="00E76B5A"/>
    <w:rsid w:val="00EA7EA2"/>
    <w:rsid w:val="00EB4BF3"/>
    <w:rsid w:val="00EC72B5"/>
    <w:rsid w:val="00F046B7"/>
    <w:rsid w:val="00F04D79"/>
    <w:rsid w:val="00F05816"/>
    <w:rsid w:val="00F13339"/>
    <w:rsid w:val="00F300B2"/>
    <w:rsid w:val="00F5096A"/>
    <w:rsid w:val="00F57779"/>
    <w:rsid w:val="00F64779"/>
    <w:rsid w:val="00F663F6"/>
    <w:rsid w:val="00F70160"/>
    <w:rsid w:val="00F924CB"/>
    <w:rsid w:val="00FA061D"/>
    <w:rsid w:val="00FA6EF1"/>
    <w:rsid w:val="00FA7508"/>
    <w:rsid w:val="00FA7B5C"/>
    <w:rsid w:val="00FB1F25"/>
    <w:rsid w:val="00FC4BEB"/>
    <w:rsid w:val="00FE1BAC"/>
    <w:rsid w:val="00FF0409"/>
    <w:rsid w:val="00FF1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7F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32FAB"/>
    <w:pPr>
      <w:tabs>
        <w:tab w:val="center" w:pos="4536"/>
        <w:tab w:val="right" w:pos="9072"/>
      </w:tabs>
    </w:pPr>
  </w:style>
  <w:style w:type="character" w:customStyle="1" w:styleId="GlavaZnak">
    <w:name w:val="Glava Znak"/>
    <w:basedOn w:val="Privzetapisavaodstavka"/>
    <w:link w:val="Glava"/>
    <w:uiPriority w:val="99"/>
    <w:locked/>
    <w:rsid w:val="00132FAB"/>
    <w:rPr>
      <w:sz w:val="22"/>
      <w:lang w:eastAsia="en-US"/>
    </w:rPr>
  </w:style>
  <w:style w:type="paragraph" w:styleId="Noga">
    <w:name w:val="footer"/>
    <w:basedOn w:val="Navaden"/>
    <w:link w:val="NogaZnak"/>
    <w:uiPriority w:val="99"/>
    <w:rsid w:val="00132FAB"/>
    <w:pPr>
      <w:tabs>
        <w:tab w:val="center" w:pos="4536"/>
        <w:tab w:val="right" w:pos="9072"/>
      </w:tabs>
    </w:pPr>
  </w:style>
  <w:style w:type="character" w:customStyle="1" w:styleId="NogaZnak">
    <w:name w:val="Noga Znak"/>
    <w:basedOn w:val="Privzetapisavaodstavka"/>
    <w:link w:val="Noga"/>
    <w:uiPriority w:val="99"/>
    <w:locked/>
    <w:rsid w:val="00132FAB"/>
    <w:rPr>
      <w:sz w:val="22"/>
      <w:lang w:eastAsia="en-US"/>
    </w:rPr>
  </w:style>
  <w:style w:type="paragraph" w:styleId="Telobesedila-zamik">
    <w:name w:val="Body Text Indent"/>
    <w:basedOn w:val="Navaden"/>
    <w:link w:val="Telobesedila-zamikZnak"/>
    <w:uiPriority w:val="99"/>
    <w:rsid w:val="005951FE"/>
    <w:pPr>
      <w:spacing w:after="0" w:line="240" w:lineRule="auto"/>
      <w:ind w:left="360"/>
      <w:jc w:val="both"/>
    </w:pPr>
    <w:rPr>
      <w:rFonts w:ascii="Arial Narrow" w:eastAsia="Times New Roman" w:hAnsi="Arial Narrow"/>
      <w:bCs/>
      <w:sz w:val="24"/>
      <w:szCs w:val="24"/>
      <w:lang w:eastAsia="sl-SI"/>
    </w:rPr>
  </w:style>
  <w:style w:type="character" w:customStyle="1" w:styleId="Telobesedila-zamikZnak">
    <w:name w:val="Telo besedila - zamik Znak"/>
    <w:basedOn w:val="Privzetapisavaodstavka"/>
    <w:link w:val="Telobesedila-zamik"/>
    <w:uiPriority w:val="99"/>
    <w:locked/>
    <w:rsid w:val="005951FE"/>
    <w:rPr>
      <w:rFonts w:ascii="Arial Narrow" w:hAnsi="Arial Narrow"/>
      <w:sz w:val="24"/>
    </w:rPr>
  </w:style>
  <w:style w:type="paragraph" w:styleId="Telobesedila3">
    <w:name w:val="Body Text 3"/>
    <w:basedOn w:val="Navaden"/>
    <w:link w:val="Telobesedila3Znak"/>
    <w:uiPriority w:val="99"/>
    <w:rsid w:val="005951FE"/>
    <w:pPr>
      <w:spacing w:after="120" w:line="240" w:lineRule="auto"/>
    </w:pPr>
    <w:rPr>
      <w:rFonts w:ascii="Arial Narrow" w:eastAsia="Times New Roman" w:hAnsi="Arial Narrow"/>
      <w:sz w:val="16"/>
      <w:szCs w:val="16"/>
      <w:lang w:eastAsia="sl-SI"/>
    </w:rPr>
  </w:style>
  <w:style w:type="character" w:customStyle="1" w:styleId="Telobesedila3Znak">
    <w:name w:val="Telo besedila 3 Znak"/>
    <w:basedOn w:val="Privzetapisavaodstavka"/>
    <w:link w:val="Telobesedila3"/>
    <w:uiPriority w:val="99"/>
    <w:locked/>
    <w:rsid w:val="005951FE"/>
    <w:rPr>
      <w:rFonts w:ascii="Arial Narrow" w:hAnsi="Arial Narrow"/>
      <w:sz w:val="16"/>
    </w:rPr>
  </w:style>
  <w:style w:type="paragraph" w:styleId="Brezrazmikov">
    <w:name w:val="No Spacing"/>
    <w:uiPriority w:val="99"/>
    <w:qFormat/>
    <w:rsid w:val="005951FE"/>
    <w:rPr>
      <w:lang w:eastAsia="en-US"/>
    </w:rPr>
  </w:style>
  <w:style w:type="paragraph" w:customStyle="1" w:styleId="p">
    <w:name w:val="p"/>
    <w:basedOn w:val="Navaden"/>
    <w:uiPriority w:val="99"/>
    <w:rsid w:val="005951FE"/>
    <w:pPr>
      <w:spacing w:before="48" w:after="12" w:line="240" w:lineRule="auto"/>
      <w:ind w:left="12" w:right="12" w:firstLine="240"/>
      <w:jc w:val="both"/>
    </w:pPr>
    <w:rPr>
      <w:rFonts w:ascii="Arial" w:eastAsia="Times New Roman" w:hAnsi="Arial" w:cs="Arial"/>
      <w:color w:val="222222"/>
      <w:lang w:eastAsia="sl-SI"/>
    </w:rPr>
  </w:style>
  <w:style w:type="paragraph" w:styleId="Napis">
    <w:name w:val="caption"/>
    <w:basedOn w:val="Navaden"/>
    <w:next w:val="Navaden"/>
    <w:uiPriority w:val="99"/>
    <w:qFormat/>
    <w:rsid w:val="007A7E6F"/>
    <w:rPr>
      <w:b/>
      <w:bCs/>
      <w:sz w:val="20"/>
      <w:szCs w:val="20"/>
    </w:rPr>
  </w:style>
  <w:style w:type="character" w:styleId="Pripombasklic">
    <w:name w:val="annotation reference"/>
    <w:basedOn w:val="Privzetapisavaodstavka"/>
    <w:uiPriority w:val="99"/>
    <w:semiHidden/>
    <w:rsid w:val="00F5096A"/>
    <w:rPr>
      <w:rFonts w:cs="Times New Roman"/>
      <w:sz w:val="16"/>
    </w:rPr>
  </w:style>
  <w:style w:type="paragraph" w:styleId="Pripombabesedilo">
    <w:name w:val="annotation text"/>
    <w:basedOn w:val="Navaden"/>
    <w:link w:val="PripombabesediloZnak"/>
    <w:uiPriority w:val="99"/>
    <w:semiHidden/>
    <w:rsid w:val="00F5096A"/>
    <w:rPr>
      <w:sz w:val="20"/>
      <w:szCs w:val="20"/>
    </w:rPr>
  </w:style>
  <w:style w:type="character" w:customStyle="1" w:styleId="PripombabesediloZnak">
    <w:name w:val="Pripomba – besedilo Znak"/>
    <w:basedOn w:val="Privzetapisavaodstavka"/>
    <w:link w:val="Pripombabesedilo"/>
    <w:uiPriority w:val="99"/>
    <w:semiHidden/>
    <w:locked/>
    <w:rsid w:val="00F5096A"/>
    <w:rPr>
      <w:lang w:eastAsia="en-US"/>
    </w:rPr>
  </w:style>
  <w:style w:type="paragraph" w:styleId="Zadevapripombe">
    <w:name w:val="annotation subject"/>
    <w:basedOn w:val="Pripombabesedilo"/>
    <w:next w:val="Pripombabesedilo"/>
    <w:link w:val="ZadevapripombeZnak"/>
    <w:uiPriority w:val="99"/>
    <w:semiHidden/>
    <w:rsid w:val="00F5096A"/>
    <w:rPr>
      <w:b/>
      <w:bCs/>
    </w:rPr>
  </w:style>
  <w:style w:type="character" w:customStyle="1" w:styleId="ZadevapripombeZnak">
    <w:name w:val="Zadeva pripombe Znak"/>
    <w:basedOn w:val="PripombabesediloZnak"/>
    <w:link w:val="Zadevapripombe"/>
    <w:uiPriority w:val="99"/>
    <w:semiHidden/>
    <w:locked/>
    <w:rsid w:val="00F5096A"/>
    <w:rPr>
      <w:b/>
      <w:lang w:eastAsia="en-US"/>
    </w:rPr>
  </w:style>
  <w:style w:type="paragraph" w:styleId="Besedilooblaka">
    <w:name w:val="Balloon Text"/>
    <w:basedOn w:val="Navaden"/>
    <w:link w:val="BesedilooblakaZnak"/>
    <w:uiPriority w:val="99"/>
    <w:semiHidden/>
    <w:rsid w:val="00F5096A"/>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F5096A"/>
    <w:rPr>
      <w:rFonts w:ascii="Tahoma" w:hAnsi="Tahoma"/>
      <w:sz w:val="16"/>
      <w:lang w:eastAsia="en-US"/>
    </w:rPr>
  </w:style>
  <w:style w:type="paragraph" w:styleId="Sprotnaopomba-besedilo">
    <w:name w:val="footnote text"/>
    <w:basedOn w:val="Navaden"/>
    <w:link w:val="Sprotnaopomba-besediloZnak"/>
    <w:uiPriority w:val="99"/>
    <w:semiHidden/>
    <w:rsid w:val="00732C79"/>
    <w:rPr>
      <w:sz w:val="20"/>
      <w:szCs w:val="20"/>
    </w:rPr>
  </w:style>
  <w:style w:type="character" w:customStyle="1" w:styleId="Sprotnaopomba-besediloZnak">
    <w:name w:val="Sprotna opomba - besedilo Znak"/>
    <w:basedOn w:val="Privzetapisavaodstavka"/>
    <w:link w:val="Sprotnaopomba-besedilo"/>
    <w:uiPriority w:val="99"/>
    <w:semiHidden/>
    <w:locked/>
    <w:rsid w:val="00732C79"/>
    <w:rPr>
      <w:lang w:eastAsia="en-US"/>
    </w:rPr>
  </w:style>
  <w:style w:type="character" w:styleId="Sprotnaopomba-sklic">
    <w:name w:val="footnote reference"/>
    <w:basedOn w:val="Privzetapisavaodstavka"/>
    <w:uiPriority w:val="99"/>
    <w:semiHidden/>
    <w:rsid w:val="00732C79"/>
    <w:rPr>
      <w:rFonts w:cs="Times New Roman"/>
      <w:vertAlign w:val="superscript"/>
    </w:rPr>
  </w:style>
  <w:style w:type="paragraph" w:styleId="Revizija">
    <w:name w:val="Revision"/>
    <w:hidden/>
    <w:uiPriority w:val="99"/>
    <w:semiHidden/>
    <w:rsid w:val="00625DC1"/>
    <w:rPr>
      <w:lang w:eastAsia="en-US"/>
    </w:rPr>
  </w:style>
  <w:style w:type="character" w:customStyle="1" w:styleId="text">
    <w:name w:val="text"/>
    <w:basedOn w:val="Privzetapisavaodstavka"/>
    <w:uiPriority w:val="99"/>
    <w:rsid w:val="009140E8"/>
    <w:rPr>
      <w:rFonts w:cs="Times New Roman"/>
    </w:rPr>
  </w:style>
  <w:style w:type="character" w:styleId="Hiperpovezava">
    <w:name w:val="Hyperlink"/>
    <w:basedOn w:val="Privzetapisavaodstavka"/>
    <w:uiPriority w:val="99"/>
    <w:rsid w:val="00B33BD7"/>
    <w:rPr>
      <w:rFonts w:cs="Times New Roman"/>
      <w:color w:val="0000FF"/>
      <w:u w:val="single"/>
    </w:rPr>
  </w:style>
  <w:style w:type="paragraph" w:styleId="Odstavekseznama">
    <w:name w:val="List Paragraph"/>
    <w:basedOn w:val="Navaden"/>
    <w:uiPriority w:val="99"/>
    <w:qFormat/>
    <w:rsid w:val="002D4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7F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32FAB"/>
    <w:pPr>
      <w:tabs>
        <w:tab w:val="center" w:pos="4536"/>
        <w:tab w:val="right" w:pos="9072"/>
      </w:tabs>
    </w:pPr>
  </w:style>
  <w:style w:type="character" w:customStyle="1" w:styleId="GlavaZnak">
    <w:name w:val="Glava Znak"/>
    <w:basedOn w:val="Privzetapisavaodstavka"/>
    <w:link w:val="Glava"/>
    <w:uiPriority w:val="99"/>
    <w:locked/>
    <w:rsid w:val="00132FAB"/>
    <w:rPr>
      <w:sz w:val="22"/>
      <w:lang w:eastAsia="en-US"/>
    </w:rPr>
  </w:style>
  <w:style w:type="paragraph" w:styleId="Noga">
    <w:name w:val="footer"/>
    <w:basedOn w:val="Navaden"/>
    <w:link w:val="NogaZnak"/>
    <w:uiPriority w:val="99"/>
    <w:rsid w:val="00132FAB"/>
    <w:pPr>
      <w:tabs>
        <w:tab w:val="center" w:pos="4536"/>
        <w:tab w:val="right" w:pos="9072"/>
      </w:tabs>
    </w:pPr>
  </w:style>
  <w:style w:type="character" w:customStyle="1" w:styleId="NogaZnak">
    <w:name w:val="Noga Znak"/>
    <w:basedOn w:val="Privzetapisavaodstavka"/>
    <w:link w:val="Noga"/>
    <w:uiPriority w:val="99"/>
    <w:locked/>
    <w:rsid w:val="00132FAB"/>
    <w:rPr>
      <w:sz w:val="22"/>
      <w:lang w:eastAsia="en-US"/>
    </w:rPr>
  </w:style>
  <w:style w:type="paragraph" w:styleId="Telobesedila-zamik">
    <w:name w:val="Body Text Indent"/>
    <w:basedOn w:val="Navaden"/>
    <w:link w:val="Telobesedila-zamikZnak"/>
    <w:uiPriority w:val="99"/>
    <w:rsid w:val="005951FE"/>
    <w:pPr>
      <w:spacing w:after="0" w:line="240" w:lineRule="auto"/>
      <w:ind w:left="360"/>
      <w:jc w:val="both"/>
    </w:pPr>
    <w:rPr>
      <w:rFonts w:ascii="Arial Narrow" w:eastAsia="Times New Roman" w:hAnsi="Arial Narrow"/>
      <w:bCs/>
      <w:sz w:val="24"/>
      <w:szCs w:val="24"/>
      <w:lang w:eastAsia="sl-SI"/>
    </w:rPr>
  </w:style>
  <w:style w:type="character" w:customStyle="1" w:styleId="Telobesedila-zamikZnak">
    <w:name w:val="Telo besedila - zamik Znak"/>
    <w:basedOn w:val="Privzetapisavaodstavka"/>
    <w:link w:val="Telobesedila-zamik"/>
    <w:uiPriority w:val="99"/>
    <w:locked/>
    <w:rsid w:val="005951FE"/>
    <w:rPr>
      <w:rFonts w:ascii="Arial Narrow" w:hAnsi="Arial Narrow"/>
      <w:sz w:val="24"/>
    </w:rPr>
  </w:style>
  <w:style w:type="paragraph" w:styleId="Telobesedila3">
    <w:name w:val="Body Text 3"/>
    <w:basedOn w:val="Navaden"/>
    <w:link w:val="Telobesedila3Znak"/>
    <w:uiPriority w:val="99"/>
    <w:rsid w:val="005951FE"/>
    <w:pPr>
      <w:spacing w:after="120" w:line="240" w:lineRule="auto"/>
    </w:pPr>
    <w:rPr>
      <w:rFonts w:ascii="Arial Narrow" w:eastAsia="Times New Roman" w:hAnsi="Arial Narrow"/>
      <w:sz w:val="16"/>
      <w:szCs w:val="16"/>
      <w:lang w:eastAsia="sl-SI"/>
    </w:rPr>
  </w:style>
  <w:style w:type="character" w:customStyle="1" w:styleId="Telobesedila3Znak">
    <w:name w:val="Telo besedila 3 Znak"/>
    <w:basedOn w:val="Privzetapisavaodstavka"/>
    <w:link w:val="Telobesedila3"/>
    <w:uiPriority w:val="99"/>
    <w:locked/>
    <w:rsid w:val="005951FE"/>
    <w:rPr>
      <w:rFonts w:ascii="Arial Narrow" w:hAnsi="Arial Narrow"/>
      <w:sz w:val="16"/>
    </w:rPr>
  </w:style>
  <w:style w:type="paragraph" w:styleId="Brezrazmikov">
    <w:name w:val="No Spacing"/>
    <w:uiPriority w:val="99"/>
    <w:qFormat/>
    <w:rsid w:val="005951FE"/>
    <w:rPr>
      <w:lang w:eastAsia="en-US"/>
    </w:rPr>
  </w:style>
  <w:style w:type="paragraph" w:customStyle="1" w:styleId="p">
    <w:name w:val="p"/>
    <w:basedOn w:val="Navaden"/>
    <w:uiPriority w:val="99"/>
    <w:rsid w:val="005951FE"/>
    <w:pPr>
      <w:spacing w:before="48" w:after="12" w:line="240" w:lineRule="auto"/>
      <w:ind w:left="12" w:right="12" w:firstLine="240"/>
      <w:jc w:val="both"/>
    </w:pPr>
    <w:rPr>
      <w:rFonts w:ascii="Arial" w:eastAsia="Times New Roman" w:hAnsi="Arial" w:cs="Arial"/>
      <w:color w:val="222222"/>
      <w:lang w:eastAsia="sl-SI"/>
    </w:rPr>
  </w:style>
  <w:style w:type="paragraph" w:styleId="Napis">
    <w:name w:val="caption"/>
    <w:basedOn w:val="Navaden"/>
    <w:next w:val="Navaden"/>
    <w:uiPriority w:val="99"/>
    <w:qFormat/>
    <w:rsid w:val="007A7E6F"/>
    <w:rPr>
      <w:b/>
      <w:bCs/>
      <w:sz w:val="20"/>
      <w:szCs w:val="20"/>
    </w:rPr>
  </w:style>
  <w:style w:type="character" w:styleId="Pripombasklic">
    <w:name w:val="annotation reference"/>
    <w:basedOn w:val="Privzetapisavaodstavka"/>
    <w:uiPriority w:val="99"/>
    <w:semiHidden/>
    <w:rsid w:val="00F5096A"/>
    <w:rPr>
      <w:rFonts w:cs="Times New Roman"/>
      <w:sz w:val="16"/>
    </w:rPr>
  </w:style>
  <w:style w:type="paragraph" w:styleId="Pripombabesedilo">
    <w:name w:val="annotation text"/>
    <w:basedOn w:val="Navaden"/>
    <w:link w:val="PripombabesediloZnak"/>
    <w:uiPriority w:val="99"/>
    <w:semiHidden/>
    <w:rsid w:val="00F5096A"/>
    <w:rPr>
      <w:sz w:val="20"/>
      <w:szCs w:val="20"/>
    </w:rPr>
  </w:style>
  <w:style w:type="character" w:customStyle="1" w:styleId="PripombabesediloZnak">
    <w:name w:val="Pripomba – besedilo Znak"/>
    <w:basedOn w:val="Privzetapisavaodstavka"/>
    <w:link w:val="Pripombabesedilo"/>
    <w:uiPriority w:val="99"/>
    <w:semiHidden/>
    <w:locked/>
    <w:rsid w:val="00F5096A"/>
    <w:rPr>
      <w:lang w:eastAsia="en-US"/>
    </w:rPr>
  </w:style>
  <w:style w:type="paragraph" w:styleId="Zadevapripombe">
    <w:name w:val="annotation subject"/>
    <w:basedOn w:val="Pripombabesedilo"/>
    <w:next w:val="Pripombabesedilo"/>
    <w:link w:val="ZadevapripombeZnak"/>
    <w:uiPriority w:val="99"/>
    <w:semiHidden/>
    <w:rsid w:val="00F5096A"/>
    <w:rPr>
      <w:b/>
      <w:bCs/>
    </w:rPr>
  </w:style>
  <w:style w:type="character" w:customStyle="1" w:styleId="ZadevapripombeZnak">
    <w:name w:val="Zadeva pripombe Znak"/>
    <w:basedOn w:val="PripombabesediloZnak"/>
    <w:link w:val="Zadevapripombe"/>
    <w:uiPriority w:val="99"/>
    <w:semiHidden/>
    <w:locked/>
    <w:rsid w:val="00F5096A"/>
    <w:rPr>
      <w:b/>
      <w:lang w:eastAsia="en-US"/>
    </w:rPr>
  </w:style>
  <w:style w:type="paragraph" w:styleId="Besedilooblaka">
    <w:name w:val="Balloon Text"/>
    <w:basedOn w:val="Navaden"/>
    <w:link w:val="BesedilooblakaZnak"/>
    <w:uiPriority w:val="99"/>
    <w:semiHidden/>
    <w:rsid w:val="00F5096A"/>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F5096A"/>
    <w:rPr>
      <w:rFonts w:ascii="Tahoma" w:hAnsi="Tahoma"/>
      <w:sz w:val="16"/>
      <w:lang w:eastAsia="en-US"/>
    </w:rPr>
  </w:style>
  <w:style w:type="paragraph" w:styleId="Sprotnaopomba-besedilo">
    <w:name w:val="footnote text"/>
    <w:basedOn w:val="Navaden"/>
    <w:link w:val="Sprotnaopomba-besediloZnak"/>
    <w:uiPriority w:val="99"/>
    <w:semiHidden/>
    <w:rsid w:val="00732C79"/>
    <w:rPr>
      <w:sz w:val="20"/>
      <w:szCs w:val="20"/>
    </w:rPr>
  </w:style>
  <w:style w:type="character" w:customStyle="1" w:styleId="Sprotnaopomba-besediloZnak">
    <w:name w:val="Sprotna opomba - besedilo Znak"/>
    <w:basedOn w:val="Privzetapisavaodstavka"/>
    <w:link w:val="Sprotnaopomba-besedilo"/>
    <w:uiPriority w:val="99"/>
    <w:semiHidden/>
    <w:locked/>
    <w:rsid w:val="00732C79"/>
    <w:rPr>
      <w:lang w:eastAsia="en-US"/>
    </w:rPr>
  </w:style>
  <w:style w:type="character" w:styleId="Sprotnaopomba-sklic">
    <w:name w:val="footnote reference"/>
    <w:basedOn w:val="Privzetapisavaodstavka"/>
    <w:uiPriority w:val="99"/>
    <w:semiHidden/>
    <w:rsid w:val="00732C79"/>
    <w:rPr>
      <w:rFonts w:cs="Times New Roman"/>
      <w:vertAlign w:val="superscript"/>
    </w:rPr>
  </w:style>
  <w:style w:type="paragraph" w:styleId="Revizija">
    <w:name w:val="Revision"/>
    <w:hidden/>
    <w:uiPriority w:val="99"/>
    <w:semiHidden/>
    <w:rsid w:val="00625DC1"/>
    <w:rPr>
      <w:lang w:eastAsia="en-US"/>
    </w:rPr>
  </w:style>
  <w:style w:type="character" w:customStyle="1" w:styleId="text">
    <w:name w:val="text"/>
    <w:basedOn w:val="Privzetapisavaodstavka"/>
    <w:uiPriority w:val="99"/>
    <w:rsid w:val="009140E8"/>
    <w:rPr>
      <w:rFonts w:cs="Times New Roman"/>
    </w:rPr>
  </w:style>
  <w:style w:type="character" w:styleId="Hiperpovezava">
    <w:name w:val="Hyperlink"/>
    <w:basedOn w:val="Privzetapisavaodstavka"/>
    <w:uiPriority w:val="99"/>
    <w:rsid w:val="00B33BD7"/>
    <w:rPr>
      <w:rFonts w:cs="Times New Roman"/>
      <w:color w:val="0000FF"/>
      <w:u w:val="single"/>
    </w:rPr>
  </w:style>
  <w:style w:type="paragraph" w:styleId="Odstavekseznama">
    <w:name w:val="List Paragraph"/>
    <w:basedOn w:val="Navaden"/>
    <w:uiPriority w:val="99"/>
    <w:qFormat/>
    <w:rsid w:val="002D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2715">
      <w:marLeft w:val="0"/>
      <w:marRight w:val="0"/>
      <w:marTop w:val="0"/>
      <w:marBottom w:val="0"/>
      <w:divBdr>
        <w:top w:val="none" w:sz="0" w:space="0" w:color="auto"/>
        <w:left w:val="none" w:sz="0" w:space="0" w:color="auto"/>
        <w:bottom w:val="none" w:sz="0" w:space="0" w:color="auto"/>
        <w:right w:val="none" w:sz="0" w:space="0" w:color="auto"/>
      </w:divBdr>
    </w:div>
    <w:div w:id="1885172718">
      <w:marLeft w:val="0"/>
      <w:marRight w:val="0"/>
      <w:marTop w:val="0"/>
      <w:marBottom w:val="0"/>
      <w:divBdr>
        <w:top w:val="none" w:sz="0" w:space="0" w:color="auto"/>
        <w:left w:val="none" w:sz="0" w:space="0" w:color="auto"/>
        <w:bottom w:val="none" w:sz="0" w:space="0" w:color="auto"/>
        <w:right w:val="none" w:sz="0" w:space="0" w:color="auto"/>
      </w:divBdr>
    </w:div>
    <w:div w:id="1885172720">
      <w:marLeft w:val="0"/>
      <w:marRight w:val="0"/>
      <w:marTop w:val="0"/>
      <w:marBottom w:val="0"/>
      <w:divBdr>
        <w:top w:val="none" w:sz="0" w:space="0" w:color="auto"/>
        <w:left w:val="none" w:sz="0" w:space="0" w:color="auto"/>
        <w:bottom w:val="none" w:sz="0" w:space="0" w:color="auto"/>
        <w:right w:val="none" w:sz="0" w:space="0" w:color="auto"/>
      </w:divBdr>
    </w:div>
    <w:div w:id="1885172721">
      <w:marLeft w:val="0"/>
      <w:marRight w:val="0"/>
      <w:marTop w:val="0"/>
      <w:marBottom w:val="0"/>
      <w:divBdr>
        <w:top w:val="none" w:sz="0" w:space="0" w:color="auto"/>
        <w:left w:val="none" w:sz="0" w:space="0" w:color="auto"/>
        <w:bottom w:val="none" w:sz="0" w:space="0" w:color="auto"/>
        <w:right w:val="none" w:sz="0" w:space="0" w:color="auto"/>
      </w:divBdr>
      <w:divsChild>
        <w:div w:id="1885172714">
          <w:marLeft w:val="0"/>
          <w:marRight w:val="0"/>
          <w:marTop w:val="0"/>
          <w:marBottom w:val="0"/>
          <w:divBdr>
            <w:top w:val="none" w:sz="0" w:space="0" w:color="auto"/>
            <w:left w:val="none" w:sz="0" w:space="0" w:color="auto"/>
            <w:bottom w:val="none" w:sz="0" w:space="0" w:color="auto"/>
            <w:right w:val="none" w:sz="0" w:space="0" w:color="auto"/>
          </w:divBdr>
        </w:div>
        <w:div w:id="1885172717">
          <w:marLeft w:val="0"/>
          <w:marRight w:val="0"/>
          <w:marTop w:val="0"/>
          <w:marBottom w:val="0"/>
          <w:divBdr>
            <w:top w:val="none" w:sz="0" w:space="0" w:color="auto"/>
            <w:left w:val="none" w:sz="0" w:space="0" w:color="auto"/>
            <w:bottom w:val="none" w:sz="0" w:space="0" w:color="auto"/>
            <w:right w:val="none" w:sz="0" w:space="0" w:color="auto"/>
          </w:divBdr>
        </w:div>
        <w:div w:id="1885172722">
          <w:marLeft w:val="0"/>
          <w:marRight w:val="0"/>
          <w:marTop w:val="0"/>
          <w:marBottom w:val="0"/>
          <w:divBdr>
            <w:top w:val="none" w:sz="0" w:space="0" w:color="auto"/>
            <w:left w:val="none" w:sz="0" w:space="0" w:color="auto"/>
            <w:bottom w:val="none" w:sz="0" w:space="0" w:color="auto"/>
            <w:right w:val="none" w:sz="0" w:space="0" w:color="auto"/>
          </w:divBdr>
        </w:div>
        <w:div w:id="1885172723">
          <w:marLeft w:val="0"/>
          <w:marRight w:val="0"/>
          <w:marTop w:val="0"/>
          <w:marBottom w:val="0"/>
          <w:divBdr>
            <w:top w:val="none" w:sz="0" w:space="0" w:color="auto"/>
            <w:left w:val="none" w:sz="0" w:space="0" w:color="auto"/>
            <w:bottom w:val="none" w:sz="0" w:space="0" w:color="auto"/>
            <w:right w:val="none" w:sz="0" w:space="0" w:color="auto"/>
          </w:divBdr>
        </w:div>
        <w:div w:id="1885172725">
          <w:marLeft w:val="0"/>
          <w:marRight w:val="0"/>
          <w:marTop w:val="0"/>
          <w:marBottom w:val="0"/>
          <w:divBdr>
            <w:top w:val="none" w:sz="0" w:space="0" w:color="auto"/>
            <w:left w:val="none" w:sz="0" w:space="0" w:color="auto"/>
            <w:bottom w:val="none" w:sz="0" w:space="0" w:color="auto"/>
            <w:right w:val="none" w:sz="0" w:space="0" w:color="auto"/>
          </w:divBdr>
        </w:div>
        <w:div w:id="1885172729">
          <w:marLeft w:val="0"/>
          <w:marRight w:val="0"/>
          <w:marTop w:val="0"/>
          <w:marBottom w:val="0"/>
          <w:divBdr>
            <w:top w:val="none" w:sz="0" w:space="0" w:color="auto"/>
            <w:left w:val="none" w:sz="0" w:space="0" w:color="auto"/>
            <w:bottom w:val="none" w:sz="0" w:space="0" w:color="auto"/>
            <w:right w:val="none" w:sz="0" w:space="0" w:color="auto"/>
          </w:divBdr>
        </w:div>
        <w:div w:id="1885172730">
          <w:marLeft w:val="0"/>
          <w:marRight w:val="0"/>
          <w:marTop w:val="0"/>
          <w:marBottom w:val="0"/>
          <w:divBdr>
            <w:top w:val="none" w:sz="0" w:space="0" w:color="auto"/>
            <w:left w:val="none" w:sz="0" w:space="0" w:color="auto"/>
            <w:bottom w:val="none" w:sz="0" w:space="0" w:color="auto"/>
            <w:right w:val="none" w:sz="0" w:space="0" w:color="auto"/>
          </w:divBdr>
        </w:div>
        <w:div w:id="1885172733">
          <w:marLeft w:val="0"/>
          <w:marRight w:val="0"/>
          <w:marTop w:val="0"/>
          <w:marBottom w:val="0"/>
          <w:divBdr>
            <w:top w:val="none" w:sz="0" w:space="0" w:color="auto"/>
            <w:left w:val="none" w:sz="0" w:space="0" w:color="auto"/>
            <w:bottom w:val="none" w:sz="0" w:space="0" w:color="auto"/>
            <w:right w:val="none" w:sz="0" w:space="0" w:color="auto"/>
          </w:divBdr>
        </w:div>
        <w:div w:id="1885172736">
          <w:marLeft w:val="0"/>
          <w:marRight w:val="0"/>
          <w:marTop w:val="0"/>
          <w:marBottom w:val="0"/>
          <w:divBdr>
            <w:top w:val="none" w:sz="0" w:space="0" w:color="auto"/>
            <w:left w:val="none" w:sz="0" w:space="0" w:color="auto"/>
            <w:bottom w:val="none" w:sz="0" w:space="0" w:color="auto"/>
            <w:right w:val="none" w:sz="0" w:space="0" w:color="auto"/>
          </w:divBdr>
        </w:div>
        <w:div w:id="1885172739">
          <w:marLeft w:val="0"/>
          <w:marRight w:val="0"/>
          <w:marTop w:val="0"/>
          <w:marBottom w:val="0"/>
          <w:divBdr>
            <w:top w:val="none" w:sz="0" w:space="0" w:color="auto"/>
            <w:left w:val="none" w:sz="0" w:space="0" w:color="auto"/>
            <w:bottom w:val="none" w:sz="0" w:space="0" w:color="auto"/>
            <w:right w:val="none" w:sz="0" w:space="0" w:color="auto"/>
          </w:divBdr>
        </w:div>
        <w:div w:id="1885172745">
          <w:marLeft w:val="0"/>
          <w:marRight w:val="0"/>
          <w:marTop w:val="0"/>
          <w:marBottom w:val="0"/>
          <w:divBdr>
            <w:top w:val="none" w:sz="0" w:space="0" w:color="auto"/>
            <w:left w:val="none" w:sz="0" w:space="0" w:color="auto"/>
            <w:bottom w:val="none" w:sz="0" w:space="0" w:color="auto"/>
            <w:right w:val="none" w:sz="0" w:space="0" w:color="auto"/>
          </w:divBdr>
        </w:div>
        <w:div w:id="1885172748">
          <w:marLeft w:val="0"/>
          <w:marRight w:val="0"/>
          <w:marTop w:val="0"/>
          <w:marBottom w:val="0"/>
          <w:divBdr>
            <w:top w:val="none" w:sz="0" w:space="0" w:color="auto"/>
            <w:left w:val="none" w:sz="0" w:space="0" w:color="auto"/>
            <w:bottom w:val="none" w:sz="0" w:space="0" w:color="auto"/>
            <w:right w:val="none" w:sz="0" w:space="0" w:color="auto"/>
          </w:divBdr>
        </w:div>
      </w:divsChild>
    </w:div>
    <w:div w:id="1885172728">
      <w:marLeft w:val="0"/>
      <w:marRight w:val="0"/>
      <w:marTop w:val="0"/>
      <w:marBottom w:val="0"/>
      <w:divBdr>
        <w:top w:val="none" w:sz="0" w:space="0" w:color="auto"/>
        <w:left w:val="none" w:sz="0" w:space="0" w:color="auto"/>
        <w:bottom w:val="none" w:sz="0" w:space="0" w:color="auto"/>
        <w:right w:val="none" w:sz="0" w:space="0" w:color="auto"/>
      </w:divBdr>
      <w:divsChild>
        <w:div w:id="1885172716">
          <w:marLeft w:val="0"/>
          <w:marRight w:val="0"/>
          <w:marTop w:val="0"/>
          <w:marBottom w:val="0"/>
          <w:divBdr>
            <w:top w:val="none" w:sz="0" w:space="0" w:color="auto"/>
            <w:left w:val="none" w:sz="0" w:space="0" w:color="auto"/>
            <w:bottom w:val="none" w:sz="0" w:space="0" w:color="auto"/>
            <w:right w:val="none" w:sz="0" w:space="0" w:color="auto"/>
          </w:divBdr>
        </w:div>
        <w:div w:id="1885172719">
          <w:marLeft w:val="0"/>
          <w:marRight w:val="0"/>
          <w:marTop w:val="0"/>
          <w:marBottom w:val="0"/>
          <w:divBdr>
            <w:top w:val="none" w:sz="0" w:space="0" w:color="auto"/>
            <w:left w:val="none" w:sz="0" w:space="0" w:color="auto"/>
            <w:bottom w:val="none" w:sz="0" w:space="0" w:color="auto"/>
            <w:right w:val="none" w:sz="0" w:space="0" w:color="auto"/>
          </w:divBdr>
        </w:div>
        <w:div w:id="1885172724">
          <w:marLeft w:val="0"/>
          <w:marRight w:val="0"/>
          <w:marTop w:val="0"/>
          <w:marBottom w:val="0"/>
          <w:divBdr>
            <w:top w:val="none" w:sz="0" w:space="0" w:color="auto"/>
            <w:left w:val="none" w:sz="0" w:space="0" w:color="auto"/>
            <w:bottom w:val="none" w:sz="0" w:space="0" w:color="auto"/>
            <w:right w:val="none" w:sz="0" w:space="0" w:color="auto"/>
          </w:divBdr>
        </w:div>
        <w:div w:id="1885172726">
          <w:marLeft w:val="0"/>
          <w:marRight w:val="0"/>
          <w:marTop w:val="0"/>
          <w:marBottom w:val="0"/>
          <w:divBdr>
            <w:top w:val="none" w:sz="0" w:space="0" w:color="auto"/>
            <w:left w:val="none" w:sz="0" w:space="0" w:color="auto"/>
            <w:bottom w:val="none" w:sz="0" w:space="0" w:color="auto"/>
            <w:right w:val="none" w:sz="0" w:space="0" w:color="auto"/>
          </w:divBdr>
        </w:div>
        <w:div w:id="1885172727">
          <w:marLeft w:val="0"/>
          <w:marRight w:val="0"/>
          <w:marTop w:val="0"/>
          <w:marBottom w:val="0"/>
          <w:divBdr>
            <w:top w:val="none" w:sz="0" w:space="0" w:color="auto"/>
            <w:left w:val="none" w:sz="0" w:space="0" w:color="auto"/>
            <w:bottom w:val="none" w:sz="0" w:space="0" w:color="auto"/>
            <w:right w:val="none" w:sz="0" w:space="0" w:color="auto"/>
          </w:divBdr>
        </w:div>
        <w:div w:id="1885172731">
          <w:marLeft w:val="0"/>
          <w:marRight w:val="0"/>
          <w:marTop w:val="0"/>
          <w:marBottom w:val="0"/>
          <w:divBdr>
            <w:top w:val="none" w:sz="0" w:space="0" w:color="auto"/>
            <w:left w:val="none" w:sz="0" w:space="0" w:color="auto"/>
            <w:bottom w:val="none" w:sz="0" w:space="0" w:color="auto"/>
            <w:right w:val="none" w:sz="0" w:space="0" w:color="auto"/>
          </w:divBdr>
        </w:div>
        <w:div w:id="1885172734">
          <w:marLeft w:val="0"/>
          <w:marRight w:val="0"/>
          <w:marTop w:val="0"/>
          <w:marBottom w:val="0"/>
          <w:divBdr>
            <w:top w:val="none" w:sz="0" w:space="0" w:color="auto"/>
            <w:left w:val="none" w:sz="0" w:space="0" w:color="auto"/>
            <w:bottom w:val="none" w:sz="0" w:space="0" w:color="auto"/>
            <w:right w:val="none" w:sz="0" w:space="0" w:color="auto"/>
          </w:divBdr>
        </w:div>
        <w:div w:id="1885172740">
          <w:marLeft w:val="0"/>
          <w:marRight w:val="0"/>
          <w:marTop w:val="0"/>
          <w:marBottom w:val="0"/>
          <w:divBdr>
            <w:top w:val="none" w:sz="0" w:space="0" w:color="auto"/>
            <w:left w:val="none" w:sz="0" w:space="0" w:color="auto"/>
            <w:bottom w:val="none" w:sz="0" w:space="0" w:color="auto"/>
            <w:right w:val="none" w:sz="0" w:space="0" w:color="auto"/>
          </w:divBdr>
        </w:div>
        <w:div w:id="1885172741">
          <w:marLeft w:val="0"/>
          <w:marRight w:val="0"/>
          <w:marTop w:val="0"/>
          <w:marBottom w:val="0"/>
          <w:divBdr>
            <w:top w:val="none" w:sz="0" w:space="0" w:color="auto"/>
            <w:left w:val="none" w:sz="0" w:space="0" w:color="auto"/>
            <w:bottom w:val="none" w:sz="0" w:space="0" w:color="auto"/>
            <w:right w:val="none" w:sz="0" w:space="0" w:color="auto"/>
          </w:divBdr>
        </w:div>
        <w:div w:id="1885172749">
          <w:marLeft w:val="0"/>
          <w:marRight w:val="0"/>
          <w:marTop w:val="0"/>
          <w:marBottom w:val="0"/>
          <w:divBdr>
            <w:top w:val="none" w:sz="0" w:space="0" w:color="auto"/>
            <w:left w:val="none" w:sz="0" w:space="0" w:color="auto"/>
            <w:bottom w:val="none" w:sz="0" w:space="0" w:color="auto"/>
            <w:right w:val="none" w:sz="0" w:space="0" w:color="auto"/>
          </w:divBdr>
        </w:div>
        <w:div w:id="1885172750">
          <w:marLeft w:val="0"/>
          <w:marRight w:val="0"/>
          <w:marTop w:val="0"/>
          <w:marBottom w:val="0"/>
          <w:divBdr>
            <w:top w:val="none" w:sz="0" w:space="0" w:color="auto"/>
            <w:left w:val="none" w:sz="0" w:space="0" w:color="auto"/>
            <w:bottom w:val="none" w:sz="0" w:space="0" w:color="auto"/>
            <w:right w:val="none" w:sz="0" w:space="0" w:color="auto"/>
          </w:divBdr>
        </w:div>
        <w:div w:id="1885172751">
          <w:marLeft w:val="0"/>
          <w:marRight w:val="0"/>
          <w:marTop w:val="0"/>
          <w:marBottom w:val="0"/>
          <w:divBdr>
            <w:top w:val="none" w:sz="0" w:space="0" w:color="auto"/>
            <w:left w:val="none" w:sz="0" w:space="0" w:color="auto"/>
            <w:bottom w:val="none" w:sz="0" w:space="0" w:color="auto"/>
            <w:right w:val="none" w:sz="0" w:space="0" w:color="auto"/>
          </w:divBdr>
        </w:div>
      </w:divsChild>
    </w:div>
    <w:div w:id="1885172732">
      <w:marLeft w:val="0"/>
      <w:marRight w:val="0"/>
      <w:marTop w:val="0"/>
      <w:marBottom w:val="0"/>
      <w:divBdr>
        <w:top w:val="none" w:sz="0" w:space="0" w:color="auto"/>
        <w:left w:val="none" w:sz="0" w:space="0" w:color="auto"/>
        <w:bottom w:val="none" w:sz="0" w:space="0" w:color="auto"/>
        <w:right w:val="none" w:sz="0" w:space="0" w:color="auto"/>
      </w:divBdr>
    </w:div>
    <w:div w:id="1885172735">
      <w:marLeft w:val="0"/>
      <w:marRight w:val="0"/>
      <w:marTop w:val="0"/>
      <w:marBottom w:val="0"/>
      <w:divBdr>
        <w:top w:val="none" w:sz="0" w:space="0" w:color="auto"/>
        <w:left w:val="none" w:sz="0" w:space="0" w:color="auto"/>
        <w:bottom w:val="none" w:sz="0" w:space="0" w:color="auto"/>
        <w:right w:val="none" w:sz="0" w:space="0" w:color="auto"/>
      </w:divBdr>
    </w:div>
    <w:div w:id="1885172737">
      <w:marLeft w:val="0"/>
      <w:marRight w:val="0"/>
      <w:marTop w:val="0"/>
      <w:marBottom w:val="0"/>
      <w:divBdr>
        <w:top w:val="none" w:sz="0" w:space="0" w:color="auto"/>
        <w:left w:val="none" w:sz="0" w:space="0" w:color="auto"/>
        <w:bottom w:val="none" w:sz="0" w:space="0" w:color="auto"/>
        <w:right w:val="none" w:sz="0" w:space="0" w:color="auto"/>
      </w:divBdr>
    </w:div>
    <w:div w:id="1885172738">
      <w:marLeft w:val="0"/>
      <w:marRight w:val="0"/>
      <w:marTop w:val="0"/>
      <w:marBottom w:val="0"/>
      <w:divBdr>
        <w:top w:val="none" w:sz="0" w:space="0" w:color="auto"/>
        <w:left w:val="none" w:sz="0" w:space="0" w:color="auto"/>
        <w:bottom w:val="none" w:sz="0" w:space="0" w:color="auto"/>
        <w:right w:val="none" w:sz="0" w:space="0" w:color="auto"/>
      </w:divBdr>
    </w:div>
    <w:div w:id="1885172742">
      <w:marLeft w:val="0"/>
      <w:marRight w:val="0"/>
      <w:marTop w:val="0"/>
      <w:marBottom w:val="0"/>
      <w:divBdr>
        <w:top w:val="none" w:sz="0" w:space="0" w:color="auto"/>
        <w:left w:val="none" w:sz="0" w:space="0" w:color="auto"/>
        <w:bottom w:val="none" w:sz="0" w:space="0" w:color="auto"/>
        <w:right w:val="none" w:sz="0" w:space="0" w:color="auto"/>
      </w:divBdr>
    </w:div>
    <w:div w:id="1885172743">
      <w:marLeft w:val="0"/>
      <w:marRight w:val="0"/>
      <w:marTop w:val="0"/>
      <w:marBottom w:val="0"/>
      <w:divBdr>
        <w:top w:val="none" w:sz="0" w:space="0" w:color="auto"/>
        <w:left w:val="none" w:sz="0" w:space="0" w:color="auto"/>
        <w:bottom w:val="none" w:sz="0" w:space="0" w:color="auto"/>
        <w:right w:val="none" w:sz="0" w:space="0" w:color="auto"/>
      </w:divBdr>
    </w:div>
    <w:div w:id="1885172744">
      <w:marLeft w:val="0"/>
      <w:marRight w:val="0"/>
      <w:marTop w:val="0"/>
      <w:marBottom w:val="0"/>
      <w:divBdr>
        <w:top w:val="none" w:sz="0" w:space="0" w:color="auto"/>
        <w:left w:val="none" w:sz="0" w:space="0" w:color="auto"/>
        <w:bottom w:val="none" w:sz="0" w:space="0" w:color="auto"/>
        <w:right w:val="none" w:sz="0" w:space="0" w:color="auto"/>
      </w:divBdr>
    </w:div>
    <w:div w:id="1885172746">
      <w:marLeft w:val="0"/>
      <w:marRight w:val="0"/>
      <w:marTop w:val="0"/>
      <w:marBottom w:val="0"/>
      <w:divBdr>
        <w:top w:val="none" w:sz="0" w:space="0" w:color="auto"/>
        <w:left w:val="none" w:sz="0" w:space="0" w:color="auto"/>
        <w:bottom w:val="none" w:sz="0" w:space="0" w:color="auto"/>
        <w:right w:val="none" w:sz="0" w:space="0" w:color="auto"/>
      </w:divBdr>
    </w:div>
    <w:div w:id="1885172747">
      <w:marLeft w:val="0"/>
      <w:marRight w:val="0"/>
      <w:marTop w:val="0"/>
      <w:marBottom w:val="0"/>
      <w:divBdr>
        <w:top w:val="none" w:sz="0" w:space="0" w:color="auto"/>
        <w:left w:val="none" w:sz="0" w:space="0" w:color="auto"/>
        <w:bottom w:val="none" w:sz="0" w:space="0" w:color="auto"/>
        <w:right w:val="none" w:sz="0" w:space="0" w:color="auto"/>
      </w:divBdr>
    </w:div>
    <w:div w:id="188517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3448</Words>
  <Characters>20293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Rogelj</dc:creator>
  <cp:lastModifiedBy>Igor Strmšnik</cp:lastModifiedBy>
  <cp:revision>4</cp:revision>
  <cp:lastPrinted>2013-12-11T10:13:00Z</cp:lastPrinted>
  <dcterms:created xsi:type="dcterms:W3CDTF">2013-12-11T10:16:00Z</dcterms:created>
  <dcterms:modified xsi:type="dcterms:W3CDTF">2013-12-11T12:15:00Z</dcterms:modified>
</cp:coreProperties>
</file>