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E9" w:rsidRPr="00853FE9" w:rsidRDefault="00853FE9" w:rsidP="00853FE9">
      <w:pPr>
        <w:spacing w:after="0" w:line="240" w:lineRule="auto"/>
        <w:rPr>
          <w:rFonts w:ascii="Arial" w:hAnsi="Arial" w:cs="Arial"/>
          <w:b/>
          <w:noProof/>
          <w:sz w:val="20"/>
          <w:szCs w:val="20"/>
          <w:u w:val="single"/>
        </w:rPr>
      </w:pPr>
      <w:r w:rsidRPr="00853FE9">
        <w:rPr>
          <w:rFonts w:ascii="Arial" w:hAnsi="Arial" w:cs="Arial"/>
          <w:b/>
          <w:noProof/>
          <w:sz w:val="20"/>
          <w:szCs w:val="20"/>
          <w:u w:val="single"/>
        </w:rPr>
        <w:t xml:space="preserve">Ime predpisa: </w:t>
      </w:r>
    </w:p>
    <w:p w:rsidR="00853FE9" w:rsidRPr="00853FE9" w:rsidRDefault="00853FE9" w:rsidP="00853FE9">
      <w:pPr>
        <w:spacing w:after="210" w:line="360" w:lineRule="auto"/>
        <w:jc w:val="both"/>
        <w:rPr>
          <w:rFonts w:ascii="Arial" w:eastAsia="Arial" w:hAnsi="Arial" w:cs="Arial"/>
          <w:noProof/>
          <w:sz w:val="20"/>
          <w:szCs w:val="20"/>
        </w:rPr>
      </w:pPr>
      <w:r w:rsidRPr="00853FE9">
        <w:rPr>
          <w:rFonts w:ascii="Arial" w:eastAsia="Arial" w:hAnsi="Arial" w:cs="Arial"/>
          <w:noProof/>
          <w:sz w:val="20"/>
          <w:szCs w:val="20"/>
        </w:rPr>
        <w:t>Uredba o sprememb</w:t>
      </w:r>
      <w:r w:rsidR="001C6B4F">
        <w:rPr>
          <w:rFonts w:ascii="Arial" w:eastAsia="Arial" w:hAnsi="Arial" w:cs="Arial"/>
          <w:noProof/>
          <w:sz w:val="20"/>
          <w:szCs w:val="20"/>
        </w:rPr>
        <w:t>ah</w:t>
      </w:r>
      <w:r w:rsidRPr="00853FE9">
        <w:rPr>
          <w:rFonts w:ascii="Arial" w:eastAsia="Arial" w:hAnsi="Arial" w:cs="Arial"/>
          <w:noProof/>
          <w:sz w:val="20"/>
          <w:szCs w:val="20"/>
        </w:rPr>
        <w:t xml:space="preserve"> Uredbe o mejnih vrednostih kazalcev hrupa v okolju</w:t>
      </w:r>
    </w:p>
    <w:p w:rsidR="00853FE9" w:rsidRPr="00853FE9" w:rsidRDefault="00853FE9" w:rsidP="00853FE9">
      <w:pPr>
        <w:spacing w:after="0" w:line="240" w:lineRule="auto"/>
        <w:jc w:val="both"/>
        <w:rPr>
          <w:rFonts w:ascii="Arial" w:hAnsi="Arial" w:cs="Arial"/>
          <w:b/>
          <w:noProof/>
          <w:sz w:val="20"/>
          <w:szCs w:val="20"/>
          <w:u w:val="single"/>
        </w:rPr>
      </w:pPr>
      <w:r w:rsidRPr="00853FE9">
        <w:rPr>
          <w:rFonts w:ascii="Arial" w:hAnsi="Arial" w:cs="Arial"/>
          <w:b/>
          <w:noProof/>
          <w:sz w:val="20"/>
          <w:szCs w:val="20"/>
          <w:u w:val="single"/>
        </w:rPr>
        <w:t xml:space="preserve">Št. zadeve: </w:t>
      </w:r>
    </w:p>
    <w:p w:rsidR="00853FE9" w:rsidRPr="00853FE9" w:rsidRDefault="009B65A4" w:rsidP="00853FE9">
      <w:pPr>
        <w:spacing w:after="0" w:line="240" w:lineRule="auto"/>
        <w:jc w:val="both"/>
        <w:rPr>
          <w:rFonts w:ascii="Arial" w:eastAsia="Arial" w:hAnsi="Arial" w:cs="Arial"/>
          <w:noProof/>
          <w:sz w:val="20"/>
          <w:szCs w:val="20"/>
        </w:rPr>
      </w:pPr>
      <w:r>
        <w:rPr>
          <w:rFonts w:ascii="Arial" w:eastAsia="Arial" w:hAnsi="Arial" w:cs="Arial"/>
          <w:noProof/>
          <w:sz w:val="20"/>
          <w:szCs w:val="20"/>
        </w:rPr>
        <w:t>007-398/2014</w:t>
      </w:r>
    </w:p>
    <w:p w:rsidR="00853FE9" w:rsidRPr="00853FE9" w:rsidRDefault="00853FE9" w:rsidP="00853FE9">
      <w:pPr>
        <w:spacing w:after="0" w:line="240" w:lineRule="auto"/>
        <w:jc w:val="both"/>
        <w:rPr>
          <w:rFonts w:ascii="Arial" w:eastAsia="Arial" w:hAnsi="Arial" w:cs="Arial"/>
          <w:noProof/>
          <w:sz w:val="20"/>
          <w:szCs w:val="20"/>
        </w:rPr>
      </w:pPr>
    </w:p>
    <w:p w:rsidR="00853FE9" w:rsidRPr="00853FE9" w:rsidRDefault="00853FE9" w:rsidP="00853FE9">
      <w:pPr>
        <w:spacing w:after="0" w:line="240" w:lineRule="auto"/>
        <w:rPr>
          <w:rFonts w:ascii="Arial" w:hAnsi="Arial" w:cs="Arial"/>
          <w:b/>
          <w:noProof/>
          <w:sz w:val="20"/>
          <w:szCs w:val="20"/>
        </w:rPr>
      </w:pPr>
    </w:p>
    <w:p w:rsidR="00853FE9" w:rsidRPr="00853FE9" w:rsidRDefault="00853FE9" w:rsidP="00853FE9">
      <w:pPr>
        <w:spacing w:after="0" w:line="240" w:lineRule="auto"/>
        <w:rPr>
          <w:rFonts w:ascii="Arial" w:hAnsi="Arial" w:cs="Arial"/>
          <w:b/>
          <w:noProof/>
          <w:sz w:val="20"/>
          <w:szCs w:val="20"/>
          <w:u w:val="single"/>
        </w:rPr>
      </w:pPr>
      <w:r w:rsidRPr="00853FE9">
        <w:rPr>
          <w:rFonts w:ascii="Arial" w:hAnsi="Arial" w:cs="Arial"/>
          <w:b/>
          <w:noProof/>
          <w:sz w:val="20"/>
          <w:szCs w:val="20"/>
          <w:u w:val="single"/>
        </w:rPr>
        <w:t xml:space="preserve">Datum objave: </w:t>
      </w:r>
    </w:p>
    <w:p w:rsidR="00853FE9" w:rsidRPr="00853FE9" w:rsidRDefault="009B65A4" w:rsidP="00853FE9">
      <w:pPr>
        <w:spacing w:after="0" w:line="240" w:lineRule="auto"/>
        <w:rPr>
          <w:rFonts w:ascii="Arial" w:hAnsi="Arial" w:cs="Arial"/>
          <w:noProof/>
          <w:sz w:val="20"/>
          <w:szCs w:val="20"/>
        </w:rPr>
      </w:pPr>
      <w:r>
        <w:rPr>
          <w:rFonts w:ascii="Arial" w:hAnsi="Arial" w:cs="Arial"/>
          <w:noProof/>
          <w:sz w:val="20"/>
          <w:szCs w:val="20"/>
        </w:rPr>
        <w:t>4</w:t>
      </w:r>
      <w:r w:rsidR="001C6B4F">
        <w:rPr>
          <w:rFonts w:ascii="Arial" w:hAnsi="Arial" w:cs="Arial"/>
          <w:noProof/>
          <w:sz w:val="20"/>
          <w:szCs w:val="20"/>
        </w:rPr>
        <w:t>. 9. 2014</w:t>
      </w:r>
    </w:p>
    <w:p w:rsidR="00853FE9" w:rsidRPr="00853FE9" w:rsidRDefault="00853FE9" w:rsidP="00853FE9">
      <w:pPr>
        <w:spacing w:after="0" w:line="240" w:lineRule="auto"/>
        <w:jc w:val="center"/>
        <w:rPr>
          <w:rFonts w:ascii="Arial" w:hAnsi="Arial" w:cs="Arial"/>
          <w:b/>
          <w:noProof/>
          <w:sz w:val="20"/>
          <w:szCs w:val="20"/>
          <w:u w:val="single"/>
        </w:rPr>
      </w:pPr>
    </w:p>
    <w:p w:rsidR="00853FE9" w:rsidRPr="00853FE9" w:rsidRDefault="00853FE9" w:rsidP="00853FE9">
      <w:pPr>
        <w:spacing w:after="0" w:line="240" w:lineRule="auto"/>
        <w:rPr>
          <w:rFonts w:ascii="Arial" w:hAnsi="Arial" w:cs="Arial"/>
          <w:b/>
          <w:noProof/>
          <w:sz w:val="20"/>
          <w:szCs w:val="20"/>
          <w:u w:val="single"/>
        </w:rPr>
      </w:pPr>
      <w:r w:rsidRPr="00853FE9">
        <w:rPr>
          <w:rFonts w:ascii="Arial" w:hAnsi="Arial" w:cs="Arial"/>
          <w:b/>
          <w:noProof/>
          <w:sz w:val="20"/>
          <w:szCs w:val="20"/>
          <w:u w:val="single"/>
        </w:rPr>
        <w:t xml:space="preserve">Rok za sprejem mnenj in pripomb: </w:t>
      </w:r>
    </w:p>
    <w:p w:rsidR="00853FE9" w:rsidRPr="00853FE9" w:rsidRDefault="00853FE9" w:rsidP="00853FE9">
      <w:pPr>
        <w:spacing w:after="0" w:line="240" w:lineRule="auto"/>
        <w:rPr>
          <w:rFonts w:ascii="Arial" w:hAnsi="Arial" w:cs="Arial"/>
          <w:noProof/>
          <w:sz w:val="20"/>
          <w:szCs w:val="20"/>
        </w:rPr>
      </w:pPr>
      <w:r w:rsidRPr="00853FE9">
        <w:rPr>
          <w:rFonts w:ascii="Arial" w:hAnsi="Arial" w:cs="Arial"/>
          <w:noProof/>
          <w:sz w:val="20"/>
          <w:szCs w:val="20"/>
        </w:rPr>
        <w:t>1</w:t>
      </w:r>
      <w:r w:rsidR="006D074A">
        <w:rPr>
          <w:rFonts w:ascii="Arial" w:hAnsi="Arial" w:cs="Arial"/>
          <w:noProof/>
          <w:sz w:val="20"/>
          <w:szCs w:val="20"/>
        </w:rPr>
        <w:t>9</w:t>
      </w:r>
      <w:r w:rsidRPr="00853FE9">
        <w:rPr>
          <w:rFonts w:ascii="Arial" w:hAnsi="Arial" w:cs="Arial"/>
          <w:noProof/>
          <w:sz w:val="20"/>
          <w:szCs w:val="20"/>
        </w:rPr>
        <w:t>. 9. 2014</w:t>
      </w:r>
    </w:p>
    <w:p w:rsidR="00853FE9" w:rsidRPr="00853FE9" w:rsidRDefault="00853FE9" w:rsidP="00853FE9">
      <w:pPr>
        <w:spacing w:after="0" w:line="240" w:lineRule="auto"/>
        <w:rPr>
          <w:rFonts w:ascii="Arial" w:hAnsi="Arial" w:cs="Arial"/>
          <w:noProof/>
          <w:sz w:val="20"/>
          <w:szCs w:val="20"/>
        </w:rPr>
      </w:pPr>
    </w:p>
    <w:p w:rsidR="00853FE9" w:rsidRPr="00853FE9" w:rsidRDefault="00853FE9" w:rsidP="00853FE9">
      <w:pPr>
        <w:spacing w:after="0" w:line="240" w:lineRule="auto"/>
        <w:rPr>
          <w:rFonts w:ascii="Arial" w:hAnsi="Arial" w:cs="Arial"/>
          <w:b/>
          <w:noProof/>
          <w:sz w:val="20"/>
          <w:szCs w:val="20"/>
        </w:rPr>
      </w:pPr>
    </w:p>
    <w:p w:rsidR="00853FE9" w:rsidRPr="00853FE9" w:rsidRDefault="00853FE9" w:rsidP="00853FE9">
      <w:pPr>
        <w:spacing w:after="0" w:line="240" w:lineRule="auto"/>
        <w:rPr>
          <w:rFonts w:ascii="Arial" w:hAnsi="Arial" w:cs="Arial"/>
          <w:b/>
          <w:noProof/>
          <w:sz w:val="20"/>
          <w:szCs w:val="20"/>
          <w:u w:val="single"/>
        </w:rPr>
      </w:pPr>
      <w:r w:rsidRPr="00853FE9">
        <w:rPr>
          <w:rFonts w:ascii="Arial" w:hAnsi="Arial" w:cs="Arial"/>
          <w:b/>
          <w:noProof/>
          <w:sz w:val="20"/>
          <w:szCs w:val="20"/>
          <w:u w:val="single"/>
        </w:rPr>
        <w:t>Ime odgovorne osebe in e-naslov:</w:t>
      </w:r>
    </w:p>
    <w:p w:rsidR="00853FE9" w:rsidRPr="00853FE9" w:rsidRDefault="00853FE9" w:rsidP="00853FE9">
      <w:pPr>
        <w:spacing w:after="0" w:line="240" w:lineRule="auto"/>
        <w:rPr>
          <w:rFonts w:ascii="Arial" w:eastAsia="Arial" w:hAnsi="Arial" w:cs="Arial"/>
          <w:noProof/>
          <w:sz w:val="20"/>
          <w:szCs w:val="20"/>
        </w:rPr>
      </w:pPr>
      <w:r w:rsidRPr="00853FE9">
        <w:rPr>
          <w:rFonts w:ascii="Arial" w:eastAsia="Arial" w:hAnsi="Arial" w:cs="Arial"/>
          <w:noProof/>
          <w:sz w:val="20"/>
          <w:szCs w:val="20"/>
        </w:rPr>
        <w:t xml:space="preserve">mag. Jana Miklavčič, </w:t>
      </w:r>
      <w:hyperlink r:id="rId8">
        <w:r w:rsidRPr="00853FE9">
          <w:rPr>
            <w:rFonts w:ascii="Arial" w:eastAsia="Arial" w:hAnsi="Arial" w:cs="Arial"/>
            <w:noProof/>
            <w:color w:val="0000FF"/>
            <w:sz w:val="20"/>
            <w:szCs w:val="20"/>
            <w:u w:val="single"/>
          </w:rPr>
          <w:t>gp.mko@gov.si</w:t>
        </w:r>
      </w:hyperlink>
    </w:p>
    <w:p w:rsidR="00624464" w:rsidRPr="00853FE9" w:rsidRDefault="00624464">
      <w:pPr>
        <w:spacing w:after="0" w:line="240" w:lineRule="auto"/>
        <w:rPr>
          <w:rFonts w:ascii="Arial" w:eastAsia="Arial" w:hAnsi="Arial" w:cs="Arial"/>
          <w:noProof/>
          <w:sz w:val="20"/>
          <w:szCs w:val="20"/>
        </w:rPr>
      </w:pPr>
    </w:p>
    <w:p w:rsidR="00624464" w:rsidRPr="00853FE9" w:rsidRDefault="00624464">
      <w:pPr>
        <w:spacing w:after="0" w:line="240" w:lineRule="auto"/>
        <w:rPr>
          <w:rFonts w:ascii="Arial" w:eastAsia="Arial" w:hAnsi="Arial" w:cs="Arial"/>
          <w:noProof/>
          <w:sz w:val="20"/>
          <w:szCs w:val="20"/>
        </w:rPr>
      </w:pPr>
    </w:p>
    <w:p w:rsidR="00624464" w:rsidRPr="00853FE9" w:rsidRDefault="00624464">
      <w:pPr>
        <w:spacing w:after="0" w:line="240" w:lineRule="auto"/>
        <w:rPr>
          <w:rFonts w:ascii="Arial" w:eastAsia="Arial" w:hAnsi="Arial" w:cs="Arial"/>
          <w:noProof/>
          <w:sz w:val="20"/>
          <w:szCs w:val="20"/>
        </w:rPr>
      </w:pPr>
    </w:p>
    <w:p w:rsidR="00624464" w:rsidRPr="00853FE9" w:rsidRDefault="00624464">
      <w:pPr>
        <w:spacing w:after="0" w:line="240" w:lineRule="auto"/>
        <w:rPr>
          <w:rFonts w:ascii="Arial" w:eastAsia="Arial" w:hAnsi="Arial" w:cs="Arial"/>
          <w:noProof/>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624464">
      <w:pPr>
        <w:spacing w:after="0" w:line="240" w:lineRule="auto"/>
        <w:rPr>
          <w:rFonts w:ascii="Arial" w:eastAsia="Arial" w:hAnsi="Arial" w:cs="Arial"/>
          <w:noProof/>
          <w:sz w:val="20"/>
        </w:rPr>
      </w:pPr>
    </w:p>
    <w:p w:rsidR="00624464" w:rsidRPr="00853FE9" w:rsidRDefault="0017224C">
      <w:pPr>
        <w:tabs>
          <w:tab w:val="left" w:pos="708"/>
        </w:tabs>
        <w:spacing w:after="0" w:line="260" w:lineRule="auto"/>
        <w:ind w:left="6372"/>
        <w:rPr>
          <w:rFonts w:ascii="Arial" w:eastAsia="Arial" w:hAnsi="Arial" w:cs="Arial"/>
          <w:b/>
          <w:noProof/>
          <w:sz w:val="20"/>
        </w:rPr>
      </w:pPr>
      <w:r w:rsidRPr="00853FE9">
        <w:rPr>
          <w:rFonts w:ascii="Arial" w:eastAsia="Arial" w:hAnsi="Arial" w:cs="Arial"/>
          <w:b/>
          <w:noProof/>
          <w:sz w:val="20"/>
        </w:rPr>
        <w:t xml:space="preserve"> </w:t>
      </w:r>
    </w:p>
    <w:p w:rsidR="00031A7B" w:rsidRPr="00853FE9" w:rsidRDefault="00031A7B">
      <w:pPr>
        <w:tabs>
          <w:tab w:val="left" w:pos="708"/>
        </w:tabs>
        <w:spacing w:after="0" w:line="260" w:lineRule="auto"/>
        <w:ind w:left="6372"/>
        <w:rPr>
          <w:rFonts w:ascii="Arial" w:eastAsia="Arial" w:hAnsi="Arial" w:cs="Arial"/>
          <w:b/>
          <w:noProof/>
          <w:sz w:val="20"/>
        </w:rPr>
      </w:pPr>
    </w:p>
    <w:p w:rsidR="006B2704" w:rsidRPr="00853FE9" w:rsidRDefault="006B2704">
      <w:pPr>
        <w:tabs>
          <w:tab w:val="left" w:pos="708"/>
        </w:tabs>
        <w:spacing w:after="0" w:line="260" w:lineRule="auto"/>
        <w:ind w:left="6372"/>
        <w:rPr>
          <w:rFonts w:ascii="Arial" w:eastAsia="Arial" w:hAnsi="Arial" w:cs="Arial"/>
          <w:b/>
          <w:noProof/>
          <w:sz w:val="20"/>
        </w:rPr>
      </w:pPr>
    </w:p>
    <w:p w:rsidR="00624464" w:rsidRPr="00853FE9" w:rsidRDefault="00624464">
      <w:pPr>
        <w:tabs>
          <w:tab w:val="left" w:pos="708"/>
        </w:tabs>
        <w:spacing w:after="0" w:line="260" w:lineRule="auto"/>
        <w:ind w:left="6372"/>
        <w:rPr>
          <w:rFonts w:ascii="Arial" w:eastAsia="Arial" w:hAnsi="Arial" w:cs="Arial"/>
          <w:b/>
          <w:noProof/>
          <w:sz w:val="20"/>
        </w:rPr>
      </w:pPr>
    </w:p>
    <w:p w:rsidR="00853FE9" w:rsidRPr="00853FE9" w:rsidRDefault="00853FE9">
      <w:pPr>
        <w:tabs>
          <w:tab w:val="left" w:pos="708"/>
        </w:tabs>
        <w:spacing w:after="0" w:line="260" w:lineRule="auto"/>
        <w:jc w:val="center"/>
        <w:rPr>
          <w:rFonts w:ascii="Arial" w:eastAsia="Arial" w:hAnsi="Arial" w:cs="Arial"/>
          <w:b/>
          <w:noProof/>
          <w:sz w:val="20"/>
        </w:rPr>
      </w:pPr>
    </w:p>
    <w:p w:rsidR="00853FE9" w:rsidRPr="00853FE9" w:rsidRDefault="00853FE9">
      <w:pPr>
        <w:tabs>
          <w:tab w:val="left" w:pos="708"/>
        </w:tabs>
        <w:spacing w:after="0" w:line="260" w:lineRule="auto"/>
        <w:jc w:val="center"/>
        <w:rPr>
          <w:rFonts w:ascii="Arial" w:eastAsia="Arial" w:hAnsi="Arial" w:cs="Arial"/>
          <w:b/>
          <w:noProof/>
          <w:sz w:val="20"/>
        </w:rPr>
      </w:pPr>
    </w:p>
    <w:p w:rsidR="00853FE9" w:rsidRPr="00853FE9" w:rsidRDefault="00853FE9">
      <w:pPr>
        <w:tabs>
          <w:tab w:val="left" w:pos="708"/>
        </w:tabs>
        <w:spacing w:after="0" w:line="260" w:lineRule="auto"/>
        <w:jc w:val="center"/>
        <w:rPr>
          <w:rFonts w:ascii="Arial" w:eastAsia="Arial" w:hAnsi="Arial" w:cs="Arial"/>
          <w:b/>
          <w:noProof/>
          <w:sz w:val="20"/>
        </w:rPr>
      </w:pPr>
    </w:p>
    <w:p w:rsidR="00853FE9" w:rsidRPr="00853FE9" w:rsidRDefault="00853FE9">
      <w:pPr>
        <w:tabs>
          <w:tab w:val="left" w:pos="708"/>
        </w:tabs>
        <w:spacing w:after="0" w:line="260" w:lineRule="auto"/>
        <w:jc w:val="center"/>
        <w:rPr>
          <w:rFonts w:ascii="Arial" w:eastAsia="Arial" w:hAnsi="Arial" w:cs="Arial"/>
          <w:b/>
          <w:noProof/>
          <w:sz w:val="20"/>
        </w:rPr>
      </w:pPr>
    </w:p>
    <w:p w:rsidR="00853FE9" w:rsidRPr="00853FE9" w:rsidRDefault="00853FE9">
      <w:pPr>
        <w:tabs>
          <w:tab w:val="left" w:pos="708"/>
        </w:tabs>
        <w:spacing w:after="0" w:line="260" w:lineRule="auto"/>
        <w:jc w:val="center"/>
        <w:rPr>
          <w:rFonts w:ascii="Arial" w:eastAsia="Arial" w:hAnsi="Arial" w:cs="Arial"/>
          <w:b/>
          <w:noProof/>
          <w:sz w:val="20"/>
        </w:rPr>
      </w:pPr>
    </w:p>
    <w:p w:rsidR="00853FE9" w:rsidRPr="00853FE9" w:rsidRDefault="00853FE9">
      <w:pPr>
        <w:tabs>
          <w:tab w:val="left" w:pos="708"/>
        </w:tabs>
        <w:spacing w:after="0" w:line="260" w:lineRule="auto"/>
        <w:jc w:val="center"/>
        <w:rPr>
          <w:rFonts w:ascii="Arial" w:eastAsia="Arial" w:hAnsi="Arial" w:cs="Arial"/>
          <w:b/>
          <w:noProof/>
          <w:sz w:val="20"/>
        </w:rPr>
      </w:pPr>
    </w:p>
    <w:p w:rsidR="00853FE9" w:rsidRPr="00853FE9" w:rsidRDefault="00853FE9">
      <w:pPr>
        <w:tabs>
          <w:tab w:val="left" w:pos="708"/>
        </w:tabs>
        <w:spacing w:after="0" w:line="260" w:lineRule="auto"/>
        <w:jc w:val="center"/>
        <w:rPr>
          <w:rFonts w:ascii="Arial" w:eastAsia="Arial" w:hAnsi="Arial" w:cs="Arial"/>
          <w:b/>
          <w:noProof/>
          <w:sz w:val="20"/>
        </w:rPr>
      </w:pPr>
    </w:p>
    <w:p w:rsidR="00853FE9" w:rsidRPr="00853FE9" w:rsidRDefault="00853FE9">
      <w:pPr>
        <w:tabs>
          <w:tab w:val="left" w:pos="708"/>
        </w:tabs>
        <w:spacing w:after="0" w:line="260" w:lineRule="auto"/>
        <w:jc w:val="center"/>
        <w:rPr>
          <w:rFonts w:ascii="Arial" w:eastAsia="Arial" w:hAnsi="Arial" w:cs="Arial"/>
          <w:b/>
          <w:noProof/>
          <w:sz w:val="20"/>
        </w:rPr>
      </w:pPr>
    </w:p>
    <w:p w:rsidR="00853FE9" w:rsidRPr="00853FE9" w:rsidRDefault="00853FE9">
      <w:pPr>
        <w:tabs>
          <w:tab w:val="left" w:pos="708"/>
        </w:tabs>
        <w:spacing w:after="0" w:line="260" w:lineRule="auto"/>
        <w:jc w:val="center"/>
        <w:rPr>
          <w:rFonts w:ascii="Arial" w:eastAsia="Arial" w:hAnsi="Arial" w:cs="Arial"/>
          <w:b/>
          <w:noProof/>
          <w:sz w:val="20"/>
        </w:rPr>
      </w:pPr>
    </w:p>
    <w:p w:rsidR="00853FE9" w:rsidRPr="00853FE9" w:rsidRDefault="00853FE9">
      <w:pPr>
        <w:tabs>
          <w:tab w:val="left" w:pos="708"/>
        </w:tabs>
        <w:spacing w:after="0" w:line="260" w:lineRule="auto"/>
        <w:jc w:val="center"/>
        <w:rPr>
          <w:rFonts w:ascii="Arial" w:eastAsia="Arial" w:hAnsi="Arial" w:cs="Arial"/>
          <w:b/>
          <w:noProof/>
          <w:sz w:val="20"/>
        </w:rPr>
      </w:pPr>
    </w:p>
    <w:p w:rsidR="00624464" w:rsidRPr="00853FE9" w:rsidRDefault="0017224C">
      <w:pPr>
        <w:tabs>
          <w:tab w:val="left" w:pos="708"/>
        </w:tabs>
        <w:spacing w:after="0" w:line="260" w:lineRule="auto"/>
        <w:jc w:val="center"/>
        <w:rPr>
          <w:rFonts w:ascii="Arial" w:eastAsia="Arial" w:hAnsi="Arial" w:cs="Arial"/>
          <w:b/>
          <w:noProof/>
          <w:sz w:val="20"/>
          <w:szCs w:val="20"/>
        </w:rPr>
      </w:pPr>
      <w:r w:rsidRPr="00853FE9">
        <w:rPr>
          <w:rFonts w:ascii="Arial" w:eastAsia="Arial" w:hAnsi="Arial" w:cs="Arial"/>
          <w:b/>
          <w:noProof/>
          <w:sz w:val="20"/>
          <w:szCs w:val="20"/>
        </w:rPr>
        <w:t>OBRAZLOŽITEV</w:t>
      </w:r>
    </w:p>
    <w:p w:rsidR="00624464" w:rsidRPr="00853FE9" w:rsidRDefault="00624464">
      <w:pPr>
        <w:tabs>
          <w:tab w:val="left" w:pos="708"/>
        </w:tabs>
        <w:spacing w:after="0" w:line="260" w:lineRule="auto"/>
        <w:ind w:left="6372"/>
        <w:rPr>
          <w:rFonts w:ascii="Arial" w:eastAsia="Arial" w:hAnsi="Arial" w:cs="Arial"/>
          <w:b/>
          <w:noProof/>
          <w:sz w:val="20"/>
          <w:szCs w:val="20"/>
        </w:rPr>
      </w:pPr>
    </w:p>
    <w:p w:rsidR="00624464" w:rsidRPr="00853FE9" w:rsidRDefault="0017224C" w:rsidP="006B2704">
      <w:pPr>
        <w:tabs>
          <w:tab w:val="left" w:pos="708"/>
        </w:tabs>
        <w:spacing w:line="240" w:lineRule="auto"/>
        <w:jc w:val="both"/>
        <w:rPr>
          <w:rFonts w:ascii="Arial" w:eastAsia="Arial" w:hAnsi="Arial" w:cs="Arial"/>
          <w:noProof/>
          <w:sz w:val="20"/>
          <w:szCs w:val="20"/>
        </w:rPr>
      </w:pPr>
      <w:r w:rsidRPr="00853FE9">
        <w:rPr>
          <w:rFonts w:ascii="Arial" w:eastAsia="Arial" w:hAnsi="Arial" w:cs="Arial"/>
          <w:noProof/>
          <w:sz w:val="20"/>
          <w:szCs w:val="20"/>
        </w:rPr>
        <w:t>Pravna podlaga za predlog Uredbe o spremembi Uredbe o mejnih vrednostih kazalcev hrupa v okolju je drugi, tretji in šesti odstavek 17. člena, prvi in drugi odstavek 23. člena ter za izvrševanje 104. člen</w:t>
      </w:r>
      <w:r w:rsidR="00031A7B" w:rsidRPr="00853FE9">
        <w:rPr>
          <w:rFonts w:ascii="Arial" w:eastAsia="Arial" w:hAnsi="Arial" w:cs="Arial"/>
          <w:noProof/>
          <w:sz w:val="20"/>
          <w:szCs w:val="20"/>
        </w:rPr>
        <w:t>a</w:t>
      </w:r>
      <w:r w:rsidRPr="00853FE9">
        <w:rPr>
          <w:rFonts w:ascii="Arial" w:eastAsia="Arial" w:hAnsi="Arial" w:cs="Arial"/>
          <w:noProof/>
          <w:sz w:val="20"/>
          <w:szCs w:val="20"/>
        </w:rPr>
        <w:t xml:space="preserve"> Zakona o varstvu okolja (Uradni list RS, št. 39/06 – uradno prečiščeno besedilo, 49/06 – ZMetD, 66/06 – odl. US, 33/07 – ZPNačrt, 57/08 – ZFO-1A, 70/08, 108/09, 48/12 in 57/12).</w:t>
      </w:r>
    </w:p>
    <w:p w:rsidR="00624464" w:rsidRPr="00853FE9" w:rsidRDefault="0017224C" w:rsidP="006B2704">
      <w:pPr>
        <w:tabs>
          <w:tab w:val="left" w:pos="708"/>
        </w:tabs>
        <w:spacing w:line="240" w:lineRule="auto"/>
        <w:jc w:val="both"/>
        <w:rPr>
          <w:rFonts w:ascii="Arial" w:eastAsia="Arial" w:hAnsi="Arial" w:cs="Arial"/>
          <w:noProof/>
          <w:sz w:val="20"/>
          <w:szCs w:val="20"/>
        </w:rPr>
      </w:pPr>
      <w:r w:rsidRPr="00853FE9">
        <w:rPr>
          <w:rFonts w:ascii="Arial" w:eastAsia="Arial" w:hAnsi="Arial" w:cs="Arial"/>
          <w:noProof/>
          <w:sz w:val="20"/>
          <w:szCs w:val="20"/>
        </w:rPr>
        <w:t xml:space="preserve">Razlog za spremembo Uredbe o mejnih vrednostih kazalcev hrupa v okolju (Ur.l. RS, št 195/05, 34/08, 109/09, 62/10) je odprava nekaterih redakcijskih napak in vsebinskih sprememb zaradi </w:t>
      </w:r>
      <w:r w:rsidR="00031A7B" w:rsidRPr="00853FE9">
        <w:rPr>
          <w:rFonts w:ascii="Arial" w:eastAsia="Arial" w:hAnsi="Arial" w:cs="Arial"/>
          <w:noProof/>
          <w:sz w:val="20"/>
          <w:szCs w:val="20"/>
        </w:rPr>
        <w:t xml:space="preserve">spremembe 94. </w:t>
      </w:r>
      <w:r w:rsidRPr="00853FE9">
        <w:rPr>
          <w:rFonts w:ascii="Arial" w:eastAsia="Arial" w:hAnsi="Arial" w:cs="Arial"/>
          <w:noProof/>
          <w:sz w:val="20"/>
          <w:szCs w:val="20"/>
        </w:rPr>
        <w:t>člena Zakona o varstvu okolja</w:t>
      </w:r>
      <w:r w:rsidR="00031A7B" w:rsidRPr="00853FE9">
        <w:rPr>
          <w:rFonts w:ascii="Arial" w:eastAsia="Arial" w:hAnsi="Arial" w:cs="Arial"/>
          <w:noProof/>
          <w:sz w:val="20"/>
          <w:szCs w:val="20"/>
        </w:rPr>
        <w:t xml:space="preserve"> - 1F (Ur.l. RS, št. 92/13)</w:t>
      </w:r>
      <w:r w:rsidRPr="00853FE9">
        <w:rPr>
          <w:rFonts w:ascii="Arial" w:eastAsia="Arial" w:hAnsi="Arial" w:cs="Arial"/>
          <w:noProof/>
          <w:sz w:val="20"/>
          <w:szCs w:val="20"/>
        </w:rPr>
        <w:t>.</w:t>
      </w:r>
    </w:p>
    <w:p w:rsidR="00624464" w:rsidRPr="00853FE9" w:rsidRDefault="0017224C" w:rsidP="006B2704">
      <w:pPr>
        <w:spacing w:line="240" w:lineRule="auto"/>
        <w:ind w:left="65"/>
        <w:jc w:val="both"/>
        <w:rPr>
          <w:rFonts w:ascii="Arial" w:eastAsia="Arial" w:hAnsi="Arial" w:cs="Arial"/>
          <w:noProof/>
          <w:sz w:val="20"/>
          <w:szCs w:val="20"/>
        </w:rPr>
      </w:pPr>
      <w:r w:rsidRPr="00853FE9">
        <w:rPr>
          <w:rFonts w:ascii="Arial" w:eastAsia="Arial" w:hAnsi="Arial" w:cs="Arial"/>
          <w:noProof/>
          <w:sz w:val="20"/>
          <w:szCs w:val="20"/>
        </w:rPr>
        <w:t>V šesti alinei 6. točke prvega odstavka 3. člena, ki opredeljuje vire onesnaževanja okolja s hrupom, se odstrani tekst »Za napravo šteje tudi gostinski ali zabaviščni lokal, za katerega je treba na podlagi meril iz 15. člena te uredbe pridobiti okoljevarstveno dovoljenje, ne glede na to, da se dejavnost izvaja v zagrajenem in prekritem prostoru stavbe,« Uredba določa, da je vir hrupa gostinski lokal, za katerega je na podlagi meril iz 15. člena te uredbe potrebna pridobitev okoljevarstvenega dovoljenja. Merila 15. člena prve Uredbe (Ur.l. RS, št. 105/05) pred tremi nadaljnjimi spremembami so bila določena v tretji alineji prvega odstavka tega člena, in sicer, da okoljevarstvenega dovoljenja ni potrebno pridobiti za obratovanje naprave, ki zaradi izvajanja industrijske, obrtne, proizvodne, storitvene in podobnih dejavnosti ali proizvodne dejavnosti v kmetijstvu ali gozdarstvu poteka v prekritih in zagrajenih prostorih stavbe, če pri največji zmogljivosti izvajanja dejavnosti v stavbi na meji gradbene parcele hrup ne presega mejnih vrednosti iz priloge 1 te uredbe, določenih za II. območje varstva okolja.</w:t>
      </w:r>
    </w:p>
    <w:p w:rsidR="00624464" w:rsidRPr="00853FE9" w:rsidRDefault="0017224C" w:rsidP="006B2704">
      <w:pPr>
        <w:spacing w:line="240" w:lineRule="auto"/>
        <w:ind w:left="62"/>
        <w:jc w:val="both"/>
        <w:rPr>
          <w:rFonts w:ascii="Arial" w:eastAsia="Arial" w:hAnsi="Arial" w:cs="Arial"/>
          <w:noProof/>
          <w:sz w:val="20"/>
          <w:szCs w:val="20"/>
        </w:rPr>
      </w:pPr>
      <w:r w:rsidRPr="00853FE9">
        <w:rPr>
          <w:rFonts w:ascii="Arial" w:eastAsia="Arial" w:hAnsi="Arial" w:cs="Arial"/>
          <w:noProof/>
          <w:sz w:val="20"/>
          <w:szCs w:val="20"/>
        </w:rPr>
        <w:t xml:space="preserve">Uredba o spremembah in dopolnitvah Uredbe o mejnih vrednostih kazalcev hrupa v okolju (Ur. l. RS, št. 62/10) je tretjo alinejo 15. člena spremenila v takšni meri, da meril oz. pogoja na meji gradbene parcele ne predpisuje več, predpisuje pa, da okoljevarstvenega dovoljenja ni potrebno pridobiti za obratovanje naprave, če ne gre za napravo, za katero je treba pridobiti okoljevarstveno dovoljenje v skladu s predpisom, ki ureja vrste dejavnosti in naprav, ki lahko povzročajo onesnaževanje okolja večjega obsega, ali obratovanje obrata, če ne gre za obrat v skladu s predpisom, ki ureja preprečevanje večjih nesreč in zmanjševanje njihovih posledic. Tako Uredba </w:t>
      </w:r>
      <w:hyperlink r:id="rId9">
        <w:r w:rsidRPr="00853FE9">
          <w:rPr>
            <w:rFonts w:ascii="Arial" w:eastAsia="Arial" w:hAnsi="Arial" w:cs="Arial"/>
            <w:noProof/>
            <w:sz w:val="20"/>
            <w:szCs w:val="20"/>
          </w:rPr>
          <w:t>o vrsti dejavnosti in naprav, ki lahko povzročajo onesnaževanje okolja večjega obsega</w:t>
        </w:r>
      </w:hyperlink>
      <w:r w:rsidRPr="00853FE9">
        <w:rPr>
          <w:rFonts w:ascii="Arial" w:eastAsia="Arial" w:hAnsi="Arial" w:cs="Arial"/>
          <w:noProof/>
          <w:sz w:val="20"/>
          <w:szCs w:val="20"/>
        </w:rPr>
        <w:t xml:space="preserve"> (Uradni list RS, št. 97/04, 71/07, 122/07 in 68/12) kot tudi </w:t>
      </w:r>
      <w:hyperlink r:id="rId10">
        <w:r w:rsidRPr="00853FE9">
          <w:rPr>
            <w:rFonts w:ascii="Arial" w:eastAsia="Arial" w:hAnsi="Arial" w:cs="Arial"/>
            <w:noProof/>
            <w:sz w:val="20"/>
            <w:szCs w:val="20"/>
          </w:rPr>
          <w:t>Uredba o preprečevanju večjih nesreč in zmanjševanju njihovih posledic</w:t>
        </w:r>
      </w:hyperlink>
      <w:r w:rsidRPr="00853FE9">
        <w:rPr>
          <w:rFonts w:ascii="Arial" w:eastAsia="Arial" w:hAnsi="Arial" w:cs="Arial"/>
          <w:noProof/>
          <w:sz w:val="20"/>
          <w:szCs w:val="20"/>
        </w:rPr>
        <w:t xml:space="preserve"> (Uradni list RS, št. 71/08 in 105/10) gostinske dejavnosti ne uvrščata med dejavnosti ali obrate, ki bi lahko povzročila onesnaževanje okolja večjega obsega ali večjo nesrečo. Iz navedenega sledi, da je sklic-definicija vira hrupa za gostinski oz. zabaviščni lokal v 6. alineji, 6. točke 3. člena v zvezi z gostinskim in zabaviščnim lokalom brezpredmetna.</w:t>
      </w:r>
    </w:p>
    <w:p w:rsidR="00624464" w:rsidRPr="00853FE9" w:rsidRDefault="0017224C" w:rsidP="006B2704">
      <w:pPr>
        <w:spacing w:line="240" w:lineRule="auto"/>
        <w:jc w:val="both"/>
        <w:rPr>
          <w:rFonts w:ascii="Arial" w:eastAsia="Arial" w:hAnsi="Arial" w:cs="Arial"/>
          <w:noProof/>
          <w:sz w:val="20"/>
          <w:szCs w:val="20"/>
        </w:rPr>
      </w:pPr>
      <w:r w:rsidRPr="00853FE9">
        <w:rPr>
          <w:rFonts w:ascii="Arial" w:eastAsia="Arial" w:hAnsi="Arial" w:cs="Arial"/>
          <w:noProof/>
          <w:sz w:val="20"/>
          <w:szCs w:val="20"/>
        </w:rPr>
        <w:t>Bistvena sprememba v Uredbi je zaradi sp</w:t>
      </w:r>
      <w:r w:rsidR="00031A7B" w:rsidRPr="00853FE9">
        <w:rPr>
          <w:rFonts w:ascii="Arial" w:eastAsia="Arial" w:hAnsi="Arial" w:cs="Arial"/>
          <w:noProof/>
          <w:sz w:val="20"/>
          <w:szCs w:val="20"/>
        </w:rPr>
        <w:t>r</w:t>
      </w:r>
      <w:r w:rsidRPr="00853FE9">
        <w:rPr>
          <w:rFonts w:ascii="Arial" w:eastAsia="Arial" w:hAnsi="Arial" w:cs="Arial"/>
          <w:noProof/>
          <w:sz w:val="20"/>
          <w:szCs w:val="20"/>
        </w:rPr>
        <w:t>emembe 94. člena Zakona o varstvu okolja ZVO-1F v 9. členu, kjer se za šestim odstavkom doda nov sedmi odstavek, ki se glasi:</w:t>
      </w:r>
    </w:p>
    <w:p w:rsidR="00624464" w:rsidRPr="00853FE9" w:rsidRDefault="0017224C" w:rsidP="006B2704">
      <w:pPr>
        <w:spacing w:line="240" w:lineRule="auto"/>
        <w:jc w:val="both"/>
        <w:rPr>
          <w:rFonts w:ascii="Arial" w:eastAsia="Arial" w:hAnsi="Arial" w:cs="Arial"/>
          <w:noProof/>
          <w:sz w:val="20"/>
          <w:szCs w:val="20"/>
        </w:rPr>
      </w:pPr>
      <w:r w:rsidRPr="00853FE9">
        <w:rPr>
          <w:rFonts w:ascii="Arial" w:eastAsia="Arial" w:hAnsi="Arial" w:cs="Arial"/>
          <w:noProof/>
          <w:sz w:val="20"/>
          <w:szCs w:val="20"/>
        </w:rPr>
        <w:t xml:space="preserve">»(7) Ne glede na določbe prejšnjega odstavka je obremenitev okolja zaradi hrupa čezmerna, če je hrup posledica obratovanja gradbišča kot naprave izven zaprtih in prekritih prostorov stavb, in sicer od ponedeljka do sobote v dnevnem času, če: </w:t>
      </w:r>
    </w:p>
    <w:p w:rsidR="00624464" w:rsidRPr="00853FE9" w:rsidRDefault="0017224C">
      <w:pPr>
        <w:spacing w:after="240" w:line="240" w:lineRule="auto"/>
        <w:ind w:left="600" w:hanging="360"/>
        <w:jc w:val="both"/>
        <w:rPr>
          <w:rFonts w:ascii="Arial" w:eastAsia="Arial" w:hAnsi="Arial" w:cs="Arial"/>
          <w:noProof/>
          <w:sz w:val="20"/>
          <w:szCs w:val="20"/>
        </w:rPr>
      </w:pPr>
      <w:r w:rsidRPr="00853FE9">
        <w:rPr>
          <w:rFonts w:ascii="Arial" w:eastAsia="Arial" w:hAnsi="Arial" w:cs="Arial"/>
          <w:noProof/>
          <w:sz w:val="20"/>
          <w:szCs w:val="20"/>
        </w:rPr>
        <w:t>-</w:t>
      </w:r>
      <w:r w:rsidRPr="00853FE9">
        <w:rPr>
          <w:rFonts w:ascii="Arial" w:eastAsia="Arial" w:hAnsi="Arial" w:cs="Arial"/>
          <w:noProof/>
          <w:sz w:val="20"/>
          <w:szCs w:val="20"/>
        </w:rPr>
        <w:tab/>
        <w:t>vrednost kazalca hrupa</w:t>
      </w:r>
      <w:r w:rsidRPr="00853FE9">
        <w:rPr>
          <w:rFonts w:ascii="Arial" w:eastAsia="Arial" w:hAnsi="Arial" w:cs="Arial"/>
          <w:i/>
          <w:noProof/>
          <w:sz w:val="20"/>
          <w:szCs w:val="20"/>
        </w:rPr>
        <w:t xml:space="preserve"> L</w:t>
      </w:r>
      <w:r w:rsidRPr="00853FE9">
        <w:rPr>
          <w:rFonts w:ascii="Arial" w:eastAsia="Arial" w:hAnsi="Arial" w:cs="Arial"/>
          <w:i/>
          <w:noProof/>
          <w:sz w:val="20"/>
          <w:szCs w:val="20"/>
          <w:vertAlign w:val="subscript"/>
        </w:rPr>
        <w:t xml:space="preserve">dvn </w:t>
      </w:r>
      <w:r w:rsidRPr="00853FE9">
        <w:rPr>
          <w:rFonts w:ascii="Arial" w:eastAsia="Arial" w:hAnsi="Arial" w:cs="Arial"/>
          <w:noProof/>
          <w:sz w:val="20"/>
          <w:szCs w:val="20"/>
        </w:rPr>
        <w:t>na kateremkoli mestu ocenjevanja na posameznem območju varstva pred hrupom presega kritično vrednost za trajno obremenjevanje okolja s hrupom, določeno za III. stopnjo varstva pred hrupom v preglednici 2 priloge 1 te uredbe ali,</w:t>
      </w:r>
    </w:p>
    <w:p w:rsidR="00624464" w:rsidRPr="00853FE9" w:rsidRDefault="0017224C">
      <w:pPr>
        <w:spacing w:after="240" w:line="240" w:lineRule="auto"/>
        <w:ind w:left="600" w:hanging="360"/>
        <w:jc w:val="both"/>
        <w:rPr>
          <w:rFonts w:ascii="Arial" w:eastAsia="Arial" w:hAnsi="Arial" w:cs="Arial"/>
          <w:noProof/>
          <w:sz w:val="20"/>
          <w:szCs w:val="20"/>
        </w:rPr>
      </w:pPr>
      <w:r w:rsidRPr="00853FE9">
        <w:rPr>
          <w:rFonts w:ascii="Arial" w:eastAsia="Arial" w:hAnsi="Arial" w:cs="Arial"/>
          <w:noProof/>
          <w:sz w:val="20"/>
          <w:szCs w:val="20"/>
        </w:rPr>
        <w:t>-</w:t>
      </w:r>
      <w:r w:rsidRPr="00853FE9">
        <w:rPr>
          <w:rFonts w:ascii="Arial" w:eastAsia="Arial" w:hAnsi="Arial" w:cs="Arial"/>
          <w:noProof/>
          <w:sz w:val="20"/>
          <w:szCs w:val="20"/>
        </w:rPr>
        <w:tab/>
        <w:t>vrednost konične ravni hrupa L1 na kateremkoli mestu ocenjevanja presega mejno vrednost na posameznem območju varstva pred hrupom, določeno za III. stopnjo varstva pred hrupom v preglednici 5 priloge 1 te uredbe.»</w:t>
      </w:r>
    </w:p>
    <w:p w:rsidR="00624464" w:rsidRPr="00853FE9" w:rsidRDefault="0017224C" w:rsidP="006B2704">
      <w:pPr>
        <w:tabs>
          <w:tab w:val="left" w:pos="0"/>
        </w:tabs>
        <w:spacing w:line="240" w:lineRule="auto"/>
        <w:jc w:val="both"/>
        <w:rPr>
          <w:rFonts w:ascii="Arial" w:eastAsia="Arial" w:hAnsi="Arial" w:cs="Arial"/>
          <w:noProof/>
          <w:sz w:val="20"/>
          <w:szCs w:val="20"/>
        </w:rPr>
      </w:pPr>
      <w:r w:rsidRPr="00853FE9">
        <w:rPr>
          <w:rFonts w:ascii="Arial" w:eastAsia="Arial" w:hAnsi="Arial" w:cs="Arial"/>
          <w:noProof/>
          <w:sz w:val="20"/>
          <w:szCs w:val="20"/>
        </w:rPr>
        <w:t>Z zadnjo spremembo Zakona o varstvu okolja (Uradni list RS, št. 39/06 – uradno prečiščeno besedilo, 49/06 – ZMetD, 66/06 – odl. US, 33/07 – ZPNačrt, 57/08 – ZFO-1A, 70/08, 108/09, 48/12, 57/12 in 92/13) je bila s spremenjenim 94</w:t>
      </w:r>
      <w:r w:rsidR="00031A7B" w:rsidRPr="00853FE9">
        <w:rPr>
          <w:rFonts w:ascii="Arial" w:eastAsia="Arial" w:hAnsi="Arial" w:cs="Arial"/>
          <w:noProof/>
          <w:sz w:val="20"/>
          <w:szCs w:val="20"/>
        </w:rPr>
        <w:t>.</w:t>
      </w:r>
      <w:r w:rsidRPr="00853FE9">
        <w:rPr>
          <w:rFonts w:ascii="Arial" w:eastAsia="Arial" w:hAnsi="Arial" w:cs="Arial"/>
          <w:noProof/>
          <w:sz w:val="20"/>
          <w:szCs w:val="20"/>
        </w:rPr>
        <w:t xml:space="preserve"> členom ukinjena možnost pridobitve dovoljenja za začasno ali občasno čezmerno obremenitev za gradbišča izven zaprtih in prekritih prostorov. </w:t>
      </w:r>
    </w:p>
    <w:p w:rsidR="00624464" w:rsidRPr="00853FE9" w:rsidRDefault="0017224C" w:rsidP="006B2704">
      <w:pPr>
        <w:spacing w:line="240" w:lineRule="auto"/>
        <w:jc w:val="both"/>
        <w:rPr>
          <w:rFonts w:ascii="Arial" w:eastAsia="Arial" w:hAnsi="Arial" w:cs="Arial"/>
          <w:noProof/>
          <w:sz w:val="20"/>
          <w:szCs w:val="20"/>
        </w:rPr>
      </w:pPr>
      <w:r w:rsidRPr="00853FE9">
        <w:rPr>
          <w:rFonts w:ascii="Arial" w:eastAsia="Arial" w:hAnsi="Arial" w:cs="Arial"/>
          <w:noProof/>
          <w:sz w:val="20"/>
          <w:szCs w:val="20"/>
        </w:rPr>
        <w:lastRenderedPageBreak/>
        <w:t>Sedmi odstavek 9. člena v sedaj predlagani uredbi je napisan tako, da povzame pogoje obratovanja gradbišč, kot začasne dejavnosti na način, ki ga je ARSO dovoljeval v dovoljenjih za začasno čezmerno obremenitev okolja s hrupom.</w:t>
      </w:r>
    </w:p>
    <w:p w:rsidR="00624464" w:rsidRPr="00853FE9" w:rsidRDefault="0017224C" w:rsidP="006B2704">
      <w:pPr>
        <w:tabs>
          <w:tab w:val="left" w:pos="0"/>
        </w:tabs>
        <w:spacing w:line="240" w:lineRule="auto"/>
        <w:jc w:val="both"/>
        <w:rPr>
          <w:rFonts w:ascii="Arial" w:eastAsia="Arial" w:hAnsi="Arial" w:cs="Arial"/>
          <w:noProof/>
          <w:sz w:val="20"/>
          <w:szCs w:val="20"/>
        </w:rPr>
      </w:pPr>
      <w:r w:rsidRPr="00853FE9">
        <w:rPr>
          <w:rFonts w:ascii="Arial" w:eastAsia="Arial" w:hAnsi="Arial" w:cs="Arial"/>
          <w:noProof/>
          <w:sz w:val="20"/>
          <w:szCs w:val="20"/>
        </w:rPr>
        <w:t xml:space="preserve">V dosedanji praksi je Agencija RS za okolje na podlagi 94. člena ZVO-1 lahko izdala dovoljenje za začasno ali občasno čezmerno obremenitev okolja s hrupom, ki jo je povzročitelj obremenitve dokazal  s strokovno oceno, da obremenitev okolja ne bo presegala kritičnih vrednosti. Glede na občutljivost okolja na čezmerno obremenitev s hrupom je Agencija RS za okolje odločala, da se čezmerne obremenitve ne sme podaljšati v večerni ali nočni čas in tudi ne ob nedeljah. </w:t>
      </w:r>
    </w:p>
    <w:p w:rsidR="00624464" w:rsidRPr="00853FE9" w:rsidRDefault="0017224C" w:rsidP="006B2704">
      <w:pPr>
        <w:tabs>
          <w:tab w:val="left" w:pos="0"/>
        </w:tabs>
        <w:spacing w:line="240" w:lineRule="auto"/>
        <w:jc w:val="both"/>
        <w:rPr>
          <w:rFonts w:ascii="Arial" w:eastAsia="Arial" w:hAnsi="Arial" w:cs="Arial"/>
          <w:noProof/>
          <w:sz w:val="20"/>
          <w:szCs w:val="20"/>
        </w:rPr>
      </w:pPr>
      <w:r w:rsidRPr="00853FE9">
        <w:rPr>
          <w:rFonts w:ascii="Arial" w:eastAsia="Arial" w:hAnsi="Arial" w:cs="Arial"/>
          <w:noProof/>
          <w:sz w:val="20"/>
          <w:szCs w:val="20"/>
        </w:rPr>
        <w:t xml:space="preserve">Predlog Uredbe o spremembah in dopolnitvah Uredbe o mejnih vrednosti kazalcev hrupa v okolju ureja mejne vrednosti kazalcev hrupa v okolju za gradbišča in sicer tako, da dopušča gradbišču, da povzroča hrup, ki ni večji od že določenih kritičnih vrednosti za III območje varstva pred hrupom v dnevnem času od ponedeljka do sobote. Upravljavec gradbišča je dolžan v skladu s predpisom, ki ureja obratovalni monitoring hrupa za vire hrupa, zagotoviti izvajanje prvega ocenjevanja in nadalje obratovalni monitoring. </w:t>
      </w:r>
    </w:p>
    <w:p w:rsidR="00624464" w:rsidRPr="00853FE9" w:rsidRDefault="0017224C" w:rsidP="006B2704">
      <w:pPr>
        <w:spacing w:line="240" w:lineRule="auto"/>
        <w:jc w:val="both"/>
        <w:rPr>
          <w:rFonts w:ascii="Arial" w:eastAsia="Arial" w:hAnsi="Arial" w:cs="Arial"/>
          <w:noProof/>
          <w:sz w:val="20"/>
          <w:szCs w:val="20"/>
        </w:rPr>
      </w:pPr>
      <w:r w:rsidRPr="00853FE9">
        <w:rPr>
          <w:rFonts w:ascii="Arial" w:eastAsia="Arial" w:hAnsi="Arial" w:cs="Arial"/>
          <w:noProof/>
          <w:sz w:val="20"/>
          <w:szCs w:val="20"/>
        </w:rPr>
        <w:t>Glede na spremembo sedmega odstavka 9. člena so v tretjem odstavku in v prvi alineji četrtega odstavka 10. člena ter v prvem odstavku 11. č</w:t>
      </w:r>
      <w:r w:rsidR="007C6083" w:rsidRPr="00853FE9">
        <w:rPr>
          <w:rFonts w:ascii="Arial" w:eastAsia="Arial" w:hAnsi="Arial" w:cs="Arial"/>
          <w:noProof/>
          <w:sz w:val="20"/>
          <w:szCs w:val="20"/>
        </w:rPr>
        <w:t>l</w:t>
      </w:r>
      <w:r w:rsidRPr="00853FE9">
        <w:rPr>
          <w:rFonts w:ascii="Arial" w:eastAsia="Arial" w:hAnsi="Arial" w:cs="Arial"/>
          <w:noProof/>
          <w:sz w:val="20"/>
          <w:szCs w:val="20"/>
        </w:rPr>
        <w:t xml:space="preserve">ena dodane zahteve za gradbišča, kot vir hrupa. </w:t>
      </w:r>
    </w:p>
    <w:p w:rsidR="00624464" w:rsidRPr="00853FE9" w:rsidRDefault="0017224C" w:rsidP="006B2704">
      <w:pPr>
        <w:spacing w:line="240" w:lineRule="auto"/>
        <w:jc w:val="both"/>
        <w:rPr>
          <w:rFonts w:ascii="Arial" w:eastAsia="Arial" w:hAnsi="Arial" w:cs="Arial"/>
          <w:noProof/>
          <w:sz w:val="20"/>
          <w:szCs w:val="20"/>
        </w:rPr>
      </w:pPr>
      <w:r w:rsidRPr="00853FE9">
        <w:rPr>
          <w:rFonts w:ascii="Arial" w:eastAsia="Arial" w:hAnsi="Arial" w:cs="Arial"/>
          <w:noProof/>
          <w:sz w:val="20"/>
          <w:szCs w:val="20"/>
        </w:rPr>
        <w:t>V prvem odstavku 15. člena se besedilo »prejšnjega,« nadomesti z »14.«. Razlog v spremembi je v tem, da se je z zadnjo spremembo uredbe v letu 2010 dodal 14. a člen, zato sklic v 15. členu na prejšnji člen ni vsebinsko povezan, temveč je povezan na predhodni 14. člen.</w:t>
      </w:r>
    </w:p>
    <w:p w:rsidR="00624464" w:rsidRPr="00853FE9" w:rsidRDefault="00624464">
      <w:pPr>
        <w:tabs>
          <w:tab w:val="left" w:pos="708"/>
        </w:tabs>
        <w:spacing w:after="0" w:line="260" w:lineRule="auto"/>
        <w:ind w:left="6372"/>
        <w:rPr>
          <w:rFonts w:ascii="Arial" w:eastAsia="Arial" w:hAnsi="Arial" w:cs="Arial"/>
          <w:noProof/>
          <w:sz w:val="20"/>
          <w:szCs w:val="20"/>
        </w:rPr>
      </w:pPr>
    </w:p>
    <w:p w:rsidR="00624464" w:rsidRPr="00853FE9" w:rsidRDefault="00624464">
      <w:pPr>
        <w:tabs>
          <w:tab w:val="left" w:pos="708"/>
        </w:tabs>
        <w:spacing w:after="0" w:line="260" w:lineRule="auto"/>
        <w:ind w:left="6372"/>
        <w:rPr>
          <w:rFonts w:ascii="Arial" w:eastAsia="Arial" w:hAnsi="Arial" w:cs="Arial"/>
          <w:noProof/>
          <w:sz w:val="20"/>
          <w:szCs w:val="20"/>
        </w:rPr>
      </w:pPr>
    </w:p>
    <w:p w:rsidR="00624464" w:rsidRPr="00853FE9" w:rsidRDefault="00624464">
      <w:pPr>
        <w:tabs>
          <w:tab w:val="left" w:pos="708"/>
        </w:tabs>
        <w:spacing w:after="0" w:line="260" w:lineRule="auto"/>
        <w:ind w:left="6372"/>
        <w:rPr>
          <w:rFonts w:ascii="Arial" w:eastAsia="Arial" w:hAnsi="Arial" w:cs="Arial"/>
          <w:noProof/>
          <w:sz w:val="20"/>
          <w:szCs w:val="20"/>
        </w:rPr>
      </w:pPr>
    </w:p>
    <w:p w:rsidR="00624464" w:rsidRPr="00853FE9" w:rsidRDefault="00624464">
      <w:pPr>
        <w:tabs>
          <w:tab w:val="left" w:pos="708"/>
        </w:tabs>
        <w:spacing w:after="0" w:line="260" w:lineRule="auto"/>
        <w:ind w:left="6372"/>
        <w:rPr>
          <w:rFonts w:ascii="Arial" w:eastAsia="Arial" w:hAnsi="Arial" w:cs="Arial"/>
          <w:noProof/>
          <w:sz w:val="20"/>
          <w:szCs w:val="20"/>
        </w:rPr>
      </w:pPr>
    </w:p>
    <w:p w:rsidR="00624464" w:rsidRPr="00853FE9" w:rsidRDefault="00624464">
      <w:pPr>
        <w:tabs>
          <w:tab w:val="left" w:pos="708"/>
        </w:tabs>
        <w:spacing w:after="0" w:line="260" w:lineRule="auto"/>
        <w:ind w:left="6372"/>
        <w:rPr>
          <w:rFonts w:ascii="Arial" w:eastAsia="Arial" w:hAnsi="Arial" w:cs="Arial"/>
          <w:noProof/>
          <w:sz w:val="20"/>
          <w:szCs w:val="20"/>
        </w:rPr>
      </w:pPr>
    </w:p>
    <w:p w:rsidR="00031A7B" w:rsidRPr="00853FE9" w:rsidRDefault="00031A7B">
      <w:pPr>
        <w:tabs>
          <w:tab w:val="left" w:pos="708"/>
        </w:tabs>
        <w:spacing w:after="0" w:line="260" w:lineRule="auto"/>
        <w:ind w:left="6372"/>
        <w:rPr>
          <w:rFonts w:ascii="Arial" w:eastAsia="Arial" w:hAnsi="Arial" w:cs="Arial"/>
          <w:noProof/>
          <w:sz w:val="20"/>
          <w:szCs w:val="20"/>
        </w:rPr>
      </w:pPr>
    </w:p>
    <w:p w:rsidR="00031A7B" w:rsidRPr="00853FE9" w:rsidRDefault="00031A7B">
      <w:pPr>
        <w:tabs>
          <w:tab w:val="left" w:pos="708"/>
        </w:tabs>
        <w:spacing w:after="0" w:line="260" w:lineRule="auto"/>
        <w:ind w:left="6372"/>
        <w:rPr>
          <w:rFonts w:ascii="Arial" w:eastAsia="Arial" w:hAnsi="Arial" w:cs="Arial"/>
          <w:noProof/>
          <w:sz w:val="20"/>
          <w:szCs w:val="20"/>
        </w:rPr>
      </w:pPr>
    </w:p>
    <w:p w:rsidR="00031A7B" w:rsidRPr="00853FE9" w:rsidRDefault="00031A7B">
      <w:pPr>
        <w:tabs>
          <w:tab w:val="left" w:pos="708"/>
        </w:tabs>
        <w:spacing w:after="0" w:line="260" w:lineRule="auto"/>
        <w:ind w:left="6372"/>
        <w:rPr>
          <w:rFonts w:ascii="Arial" w:eastAsia="Arial" w:hAnsi="Arial" w:cs="Arial"/>
          <w:noProof/>
          <w:sz w:val="20"/>
          <w:szCs w:val="20"/>
        </w:rPr>
      </w:pPr>
    </w:p>
    <w:p w:rsidR="00031A7B" w:rsidRPr="00853FE9" w:rsidRDefault="00031A7B">
      <w:pPr>
        <w:tabs>
          <w:tab w:val="left" w:pos="708"/>
        </w:tabs>
        <w:spacing w:after="0" w:line="260" w:lineRule="auto"/>
        <w:ind w:left="6372"/>
        <w:rPr>
          <w:rFonts w:ascii="Arial" w:eastAsia="Arial" w:hAnsi="Arial" w:cs="Arial"/>
          <w:noProof/>
          <w:sz w:val="20"/>
          <w:szCs w:val="20"/>
        </w:rPr>
      </w:pPr>
    </w:p>
    <w:p w:rsidR="00031A7B" w:rsidRPr="00853FE9" w:rsidRDefault="00031A7B">
      <w:pPr>
        <w:tabs>
          <w:tab w:val="left" w:pos="708"/>
        </w:tabs>
        <w:spacing w:after="0" w:line="260" w:lineRule="auto"/>
        <w:ind w:left="6372"/>
        <w:rPr>
          <w:rFonts w:ascii="Arial" w:eastAsia="Arial" w:hAnsi="Arial" w:cs="Arial"/>
          <w:noProof/>
          <w:sz w:val="20"/>
          <w:szCs w:val="20"/>
        </w:rPr>
      </w:pPr>
    </w:p>
    <w:p w:rsidR="00031A7B" w:rsidRPr="00853FE9" w:rsidRDefault="00031A7B">
      <w:pPr>
        <w:tabs>
          <w:tab w:val="left" w:pos="708"/>
        </w:tabs>
        <w:spacing w:after="0" w:line="260" w:lineRule="auto"/>
        <w:ind w:left="6372"/>
        <w:rPr>
          <w:rFonts w:ascii="Arial" w:eastAsia="Arial" w:hAnsi="Arial" w:cs="Arial"/>
          <w:noProof/>
          <w:sz w:val="20"/>
          <w:szCs w:val="20"/>
        </w:rPr>
      </w:pPr>
    </w:p>
    <w:p w:rsidR="00031A7B" w:rsidRPr="00853FE9" w:rsidRDefault="00031A7B">
      <w:pPr>
        <w:tabs>
          <w:tab w:val="left" w:pos="708"/>
        </w:tabs>
        <w:spacing w:after="0" w:line="260" w:lineRule="auto"/>
        <w:ind w:left="6372"/>
        <w:rPr>
          <w:rFonts w:ascii="Arial" w:eastAsia="Arial" w:hAnsi="Arial" w:cs="Arial"/>
          <w:noProof/>
          <w:sz w:val="20"/>
          <w:szCs w:val="20"/>
        </w:rPr>
      </w:pPr>
    </w:p>
    <w:p w:rsidR="00031A7B" w:rsidRPr="00853FE9" w:rsidRDefault="00031A7B">
      <w:pPr>
        <w:tabs>
          <w:tab w:val="left" w:pos="708"/>
        </w:tabs>
        <w:spacing w:after="0" w:line="260" w:lineRule="auto"/>
        <w:ind w:left="6372"/>
        <w:rPr>
          <w:rFonts w:ascii="Arial" w:eastAsia="Arial" w:hAnsi="Arial" w:cs="Arial"/>
          <w:noProof/>
          <w:sz w:val="20"/>
          <w:szCs w:val="20"/>
        </w:rPr>
      </w:pPr>
    </w:p>
    <w:p w:rsidR="00031A7B" w:rsidRPr="00853FE9" w:rsidRDefault="00031A7B">
      <w:pPr>
        <w:tabs>
          <w:tab w:val="left" w:pos="708"/>
        </w:tabs>
        <w:spacing w:after="0" w:line="260" w:lineRule="auto"/>
        <w:ind w:left="6372"/>
        <w:rPr>
          <w:rFonts w:ascii="Arial" w:eastAsia="Arial" w:hAnsi="Arial" w:cs="Arial"/>
          <w:noProof/>
          <w:sz w:val="20"/>
          <w:szCs w:val="20"/>
        </w:rPr>
      </w:pPr>
    </w:p>
    <w:p w:rsidR="00031A7B" w:rsidRPr="00853FE9" w:rsidRDefault="00031A7B">
      <w:pPr>
        <w:tabs>
          <w:tab w:val="left" w:pos="708"/>
        </w:tabs>
        <w:spacing w:after="0" w:line="260" w:lineRule="auto"/>
        <w:ind w:left="6372"/>
        <w:rPr>
          <w:rFonts w:ascii="Arial" w:eastAsia="Arial" w:hAnsi="Arial" w:cs="Arial"/>
          <w:noProof/>
          <w:sz w:val="20"/>
          <w:szCs w:val="20"/>
        </w:rPr>
      </w:pPr>
    </w:p>
    <w:p w:rsidR="00031A7B" w:rsidRPr="00853FE9" w:rsidRDefault="00031A7B">
      <w:pPr>
        <w:tabs>
          <w:tab w:val="left" w:pos="708"/>
        </w:tabs>
        <w:spacing w:after="0" w:line="260" w:lineRule="auto"/>
        <w:ind w:left="6372"/>
        <w:rPr>
          <w:rFonts w:ascii="Arial" w:eastAsia="Arial" w:hAnsi="Arial" w:cs="Arial"/>
          <w:noProof/>
          <w:sz w:val="20"/>
          <w:szCs w:val="20"/>
        </w:rPr>
      </w:pPr>
    </w:p>
    <w:p w:rsidR="00031A7B" w:rsidRPr="00853FE9" w:rsidRDefault="00031A7B">
      <w:pPr>
        <w:tabs>
          <w:tab w:val="left" w:pos="708"/>
        </w:tabs>
        <w:spacing w:after="0" w:line="260" w:lineRule="auto"/>
        <w:ind w:left="6372"/>
        <w:rPr>
          <w:rFonts w:ascii="Arial" w:eastAsia="Arial" w:hAnsi="Arial" w:cs="Arial"/>
          <w:noProof/>
          <w:sz w:val="20"/>
          <w:szCs w:val="20"/>
        </w:rPr>
      </w:pPr>
    </w:p>
    <w:p w:rsidR="00031A7B" w:rsidRPr="00853FE9" w:rsidRDefault="00031A7B">
      <w:pPr>
        <w:tabs>
          <w:tab w:val="left" w:pos="708"/>
        </w:tabs>
        <w:spacing w:after="0" w:line="260" w:lineRule="auto"/>
        <w:ind w:left="6372"/>
        <w:rPr>
          <w:rFonts w:ascii="Arial" w:eastAsia="Arial" w:hAnsi="Arial" w:cs="Arial"/>
          <w:noProof/>
          <w:sz w:val="20"/>
          <w:szCs w:val="20"/>
        </w:rPr>
      </w:pPr>
    </w:p>
    <w:p w:rsidR="00031A7B" w:rsidRPr="00853FE9" w:rsidRDefault="00031A7B">
      <w:pPr>
        <w:tabs>
          <w:tab w:val="left" w:pos="708"/>
        </w:tabs>
        <w:spacing w:after="0" w:line="260" w:lineRule="auto"/>
        <w:ind w:left="6372"/>
        <w:rPr>
          <w:rFonts w:ascii="Arial" w:eastAsia="Arial" w:hAnsi="Arial" w:cs="Arial"/>
          <w:noProof/>
          <w:sz w:val="20"/>
          <w:szCs w:val="20"/>
        </w:rPr>
      </w:pPr>
    </w:p>
    <w:p w:rsidR="00031A7B" w:rsidRPr="00853FE9" w:rsidRDefault="00031A7B">
      <w:pPr>
        <w:tabs>
          <w:tab w:val="left" w:pos="708"/>
        </w:tabs>
        <w:spacing w:after="0" w:line="260" w:lineRule="auto"/>
        <w:ind w:left="6372"/>
        <w:rPr>
          <w:rFonts w:ascii="Arial" w:eastAsia="Arial" w:hAnsi="Arial" w:cs="Arial"/>
          <w:noProof/>
          <w:sz w:val="20"/>
          <w:szCs w:val="20"/>
        </w:rPr>
      </w:pPr>
    </w:p>
    <w:p w:rsidR="00624464" w:rsidRPr="00853FE9" w:rsidRDefault="00624464">
      <w:pPr>
        <w:tabs>
          <w:tab w:val="left" w:pos="708"/>
        </w:tabs>
        <w:spacing w:after="0" w:line="260" w:lineRule="auto"/>
        <w:ind w:left="6372"/>
        <w:rPr>
          <w:rFonts w:ascii="Arial" w:eastAsia="Arial" w:hAnsi="Arial" w:cs="Arial"/>
          <w:noProof/>
          <w:sz w:val="20"/>
          <w:szCs w:val="20"/>
        </w:rPr>
      </w:pPr>
    </w:p>
    <w:p w:rsidR="00624464" w:rsidRPr="00853FE9" w:rsidRDefault="00624464">
      <w:pPr>
        <w:tabs>
          <w:tab w:val="left" w:pos="708"/>
        </w:tabs>
        <w:spacing w:after="0" w:line="260" w:lineRule="auto"/>
        <w:ind w:left="6372"/>
        <w:rPr>
          <w:rFonts w:ascii="Arial" w:eastAsia="Arial" w:hAnsi="Arial" w:cs="Arial"/>
          <w:noProof/>
          <w:sz w:val="20"/>
          <w:szCs w:val="20"/>
        </w:rPr>
      </w:pPr>
    </w:p>
    <w:p w:rsidR="008C18FD" w:rsidRPr="00853FE9" w:rsidRDefault="008C18FD">
      <w:pPr>
        <w:tabs>
          <w:tab w:val="left" w:pos="708"/>
        </w:tabs>
        <w:spacing w:after="0" w:line="260" w:lineRule="auto"/>
        <w:ind w:left="6372"/>
        <w:rPr>
          <w:rFonts w:ascii="Arial" w:eastAsia="Arial" w:hAnsi="Arial" w:cs="Arial"/>
          <w:noProof/>
          <w:sz w:val="20"/>
          <w:szCs w:val="20"/>
        </w:rPr>
      </w:pPr>
    </w:p>
    <w:p w:rsidR="008C18FD" w:rsidRPr="00853FE9" w:rsidRDefault="008C18FD">
      <w:pPr>
        <w:tabs>
          <w:tab w:val="left" w:pos="708"/>
        </w:tabs>
        <w:spacing w:after="0" w:line="260" w:lineRule="auto"/>
        <w:ind w:left="6372"/>
        <w:rPr>
          <w:rFonts w:ascii="Arial" w:eastAsia="Arial" w:hAnsi="Arial" w:cs="Arial"/>
          <w:noProof/>
          <w:sz w:val="20"/>
          <w:szCs w:val="20"/>
        </w:rPr>
      </w:pPr>
    </w:p>
    <w:p w:rsidR="008C18FD" w:rsidRPr="00853FE9" w:rsidRDefault="008C18FD">
      <w:pPr>
        <w:tabs>
          <w:tab w:val="left" w:pos="708"/>
        </w:tabs>
        <w:spacing w:after="0" w:line="260" w:lineRule="auto"/>
        <w:ind w:left="6372"/>
        <w:rPr>
          <w:rFonts w:ascii="Arial" w:eastAsia="Arial" w:hAnsi="Arial" w:cs="Arial"/>
          <w:noProof/>
          <w:sz w:val="20"/>
          <w:szCs w:val="20"/>
        </w:rPr>
      </w:pPr>
    </w:p>
    <w:p w:rsidR="008C18FD" w:rsidRPr="00853FE9" w:rsidRDefault="008C18FD">
      <w:pPr>
        <w:tabs>
          <w:tab w:val="left" w:pos="708"/>
        </w:tabs>
        <w:spacing w:after="0" w:line="260" w:lineRule="auto"/>
        <w:ind w:left="6372"/>
        <w:rPr>
          <w:rFonts w:ascii="Arial" w:eastAsia="Arial" w:hAnsi="Arial" w:cs="Arial"/>
          <w:noProof/>
          <w:sz w:val="20"/>
          <w:szCs w:val="20"/>
        </w:rPr>
      </w:pPr>
    </w:p>
    <w:p w:rsidR="008C18FD" w:rsidRPr="00853FE9" w:rsidRDefault="008C18FD">
      <w:pPr>
        <w:tabs>
          <w:tab w:val="left" w:pos="708"/>
        </w:tabs>
        <w:spacing w:after="0" w:line="260" w:lineRule="auto"/>
        <w:ind w:left="6372"/>
        <w:rPr>
          <w:rFonts w:ascii="Arial" w:eastAsia="Arial" w:hAnsi="Arial" w:cs="Arial"/>
          <w:noProof/>
          <w:sz w:val="20"/>
          <w:szCs w:val="20"/>
        </w:rPr>
      </w:pPr>
    </w:p>
    <w:p w:rsidR="008C18FD" w:rsidRPr="00853FE9" w:rsidRDefault="008C18FD">
      <w:pPr>
        <w:tabs>
          <w:tab w:val="left" w:pos="708"/>
        </w:tabs>
        <w:spacing w:after="0" w:line="260" w:lineRule="auto"/>
        <w:ind w:left="6372"/>
        <w:rPr>
          <w:rFonts w:ascii="Arial" w:eastAsia="Arial" w:hAnsi="Arial" w:cs="Arial"/>
          <w:noProof/>
          <w:sz w:val="20"/>
          <w:szCs w:val="20"/>
        </w:rPr>
      </w:pPr>
    </w:p>
    <w:p w:rsidR="006B2704" w:rsidRPr="00853FE9" w:rsidRDefault="006B2704">
      <w:pPr>
        <w:tabs>
          <w:tab w:val="left" w:pos="708"/>
        </w:tabs>
        <w:spacing w:after="0" w:line="260" w:lineRule="auto"/>
        <w:ind w:left="6372"/>
        <w:rPr>
          <w:rFonts w:ascii="Arial" w:eastAsia="Arial" w:hAnsi="Arial" w:cs="Arial"/>
          <w:noProof/>
          <w:sz w:val="20"/>
          <w:szCs w:val="20"/>
        </w:rPr>
      </w:pPr>
    </w:p>
    <w:p w:rsidR="006B2704" w:rsidRPr="00853FE9" w:rsidRDefault="006B2704">
      <w:pPr>
        <w:tabs>
          <w:tab w:val="left" w:pos="708"/>
        </w:tabs>
        <w:spacing w:after="0" w:line="260" w:lineRule="auto"/>
        <w:ind w:left="6372"/>
        <w:rPr>
          <w:rFonts w:ascii="Arial" w:eastAsia="Arial" w:hAnsi="Arial" w:cs="Arial"/>
          <w:noProof/>
          <w:sz w:val="20"/>
          <w:szCs w:val="20"/>
        </w:rPr>
      </w:pPr>
    </w:p>
    <w:p w:rsidR="006B2704" w:rsidRPr="00853FE9" w:rsidRDefault="006B2704">
      <w:pPr>
        <w:tabs>
          <w:tab w:val="left" w:pos="708"/>
        </w:tabs>
        <w:spacing w:after="0" w:line="260" w:lineRule="auto"/>
        <w:ind w:left="6372"/>
        <w:rPr>
          <w:rFonts w:ascii="Arial" w:eastAsia="Arial" w:hAnsi="Arial" w:cs="Arial"/>
          <w:noProof/>
          <w:sz w:val="20"/>
          <w:szCs w:val="20"/>
        </w:rPr>
      </w:pPr>
    </w:p>
    <w:p w:rsidR="006B2704" w:rsidRPr="00853FE9" w:rsidRDefault="006B2704">
      <w:pPr>
        <w:tabs>
          <w:tab w:val="left" w:pos="708"/>
        </w:tabs>
        <w:spacing w:after="0" w:line="260" w:lineRule="auto"/>
        <w:ind w:left="6372"/>
        <w:rPr>
          <w:rFonts w:ascii="Arial" w:eastAsia="Arial" w:hAnsi="Arial" w:cs="Arial"/>
          <w:noProof/>
          <w:sz w:val="20"/>
          <w:szCs w:val="20"/>
        </w:rPr>
      </w:pPr>
    </w:p>
    <w:p w:rsidR="006B2704" w:rsidRPr="00853FE9" w:rsidRDefault="006B2704">
      <w:pPr>
        <w:tabs>
          <w:tab w:val="left" w:pos="708"/>
        </w:tabs>
        <w:spacing w:after="0" w:line="260" w:lineRule="auto"/>
        <w:ind w:left="6372"/>
        <w:rPr>
          <w:rFonts w:ascii="Arial" w:eastAsia="Arial" w:hAnsi="Arial" w:cs="Arial"/>
          <w:noProof/>
          <w:sz w:val="20"/>
          <w:szCs w:val="20"/>
        </w:rPr>
      </w:pPr>
    </w:p>
    <w:p w:rsidR="006B2704" w:rsidRPr="00853FE9" w:rsidRDefault="006B2704">
      <w:pPr>
        <w:tabs>
          <w:tab w:val="left" w:pos="708"/>
        </w:tabs>
        <w:spacing w:after="0" w:line="260" w:lineRule="auto"/>
        <w:ind w:left="6372"/>
        <w:rPr>
          <w:rFonts w:ascii="Arial" w:eastAsia="Arial" w:hAnsi="Arial" w:cs="Arial"/>
          <w:noProof/>
          <w:sz w:val="20"/>
          <w:szCs w:val="20"/>
        </w:rPr>
      </w:pPr>
    </w:p>
    <w:p w:rsidR="006B2704" w:rsidRPr="00853FE9" w:rsidRDefault="006B2704">
      <w:pPr>
        <w:tabs>
          <w:tab w:val="left" w:pos="708"/>
        </w:tabs>
        <w:spacing w:after="0" w:line="260" w:lineRule="auto"/>
        <w:ind w:left="6372"/>
        <w:rPr>
          <w:rFonts w:ascii="Arial" w:eastAsia="Arial" w:hAnsi="Arial" w:cs="Arial"/>
          <w:noProof/>
          <w:sz w:val="20"/>
          <w:szCs w:val="20"/>
        </w:rPr>
      </w:pPr>
    </w:p>
    <w:p w:rsidR="006B2704" w:rsidRPr="00853FE9" w:rsidRDefault="006B2704">
      <w:pPr>
        <w:tabs>
          <w:tab w:val="left" w:pos="708"/>
        </w:tabs>
        <w:spacing w:after="0" w:line="260" w:lineRule="auto"/>
        <w:ind w:left="6372"/>
        <w:rPr>
          <w:rFonts w:ascii="Arial" w:eastAsia="Arial" w:hAnsi="Arial" w:cs="Arial"/>
          <w:noProof/>
          <w:sz w:val="20"/>
          <w:szCs w:val="20"/>
        </w:rPr>
      </w:pPr>
    </w:p>
    <w:p w:rsidR="00624464" w:rsidRPr="00853FE9" w:rsidRDefault="00624464">
      <w:pPr>
        <w:tabs>
          <w:tab w:val="left" w:pos="708"/>
        </w:tabs>
        <w:spacing w:after="0" w:line="260" w:lineRule="auto"/>
        <w:jc w:val="both"/>
        <w:rPr>
          <w:rFonts w:ascii="Arial" w:eastAsia="Arial" w:hAnsi="Arial" w:cs="Arial"/>
          <w:noProof/>
          <w:sz w:val="20"/>
          <w:szCs w:val="20"/>
        </w:rPr>
      </w:pPr>
    </w:p>
    <w:p w:rsidR="00624464" w:rsidRPr="00853FE9" w:rsidRDefault="0017224C">
      <w:pPr>
        <w:spacing w:after="210" w:line="240" w:lineRule="auto"/>
        <w:jc w:val="both"/>
        <w:rPr>
          <w:rFonts w:ascii="Arial" w:eastAsia="Arial" w:hAnsi="Arial" w:cs="Arial"/>
          <w:noProof/>
          <w:sz w:val="20"/>
          <w:szCs w:val="20"/>
        </w:rPr>
      </w:pPr>
      <w:r w:rsidRPr="00853FE9">
        <w:rPr>
          <w:rFonts w:ascii="Arial" w:eastAsia="Arial" w:hAnsi="Arial" w:cs="Arial"/>
          <w:noProof/>
          <w:sz w:val="20"/>
          <w:szCs w:val="20"/>
        </w:rPr>
        <w:t>Na podlagi drugega, tretjega in šestega odstavka 17. člena in prvega in drugega odstavka 23. člena ter za izvrševanje 104. člena Zakona o varstvu okolja (Uradni list RS, št. 39/06 – uradno prečiščeno besedilo, 49/06 – ZMetD, 66/06 – odl. US, 33/07 – ZPNačrt, 57/08 – ZFO-1A, 70/08, 108/09, 48/12,  57/12 in 92/13) izdaja Vlada Republike Slovenije</w:t>
      </w:r>
    </w:p>
    <w:p w:rsidR="00DE42F0" w:rsidRPr="00853FE9" w:rsidRDefault="00DE42F0">
      <w:pPr>
        <w:spacing w:after="210" w:line="240" w:lineRule="auto"/>
        <w:jc w:val="both"/>
        <w:rPr>
          <w:rFonts w:ascii="Arial" w:eastAsia="Arial" w:hAnsi="Arial" w:cs="Arial"/>
          <w:noProof/>
          <w:sz w:val="20"/>
          <w:szCs w:val="20"/>
        </w:rPr>
      </w:pPr>
    </w:p>
    <w:p w:rsidR="00031A7B" w:rsidRPr="00853FE9" w:rsidRDefault="0017224C">
      <w:pPr>
        <w:spacing w:after="210" w:line="360" w:lineRule="auto"/>
        <w:jc w:val="center"/>
        <w:rPr>
          <w:rFonts w:ascii="Arial" w:eastAsia="Arial" w:hAnsi="Arial" w:cs="Arial"/>
          <w:b/>
          <w:noProof/>
          <w:sz w:val="20"/>
          <w:szCs w:val="20"/>
        </w:rPr>
      </w:pPr>
      <w:r w:rsidRPr="00853FE9">
        <w:rPr>
          <w:rFonts w:ascii="Arial" w:eastAsia="Arial" w:hAnsi="Arial" w:cs="Arial"/>
          <w:b/>
          <w:noProof/>
          <w:sz w:val="20"/>
          <w:szCs w:val="20"/>
        </w:rPr>
        <w:t xml:space="preserve">U R E D B </w:t>
      </w:r>
      <w:r w:rsidR="00031A7B" w:rsidRPr="00853FE9">
        <w:rPr>
          <w:rFonts w:ascii="Arial" w:eastAsia="Arial" w:hAnsi="Arial" w:cs="Arial"/>
          <w:b/>
          <w:noProof/>
          <w:sz w:val="20"/>
          <w:szCs w:val="20"/>
        </w:rPr>
        <w:t>O</w:t>
      </w:r>
    </w:p>
    <w:p w:rsidR="00624464" w:rsidRPr="00853FE9" w:rsidRDefault="0017224C">
      <w:pPr>
        <w:spacing w:after="210" w:line="360" w:lineRule="auto"/>
        <w:jc w:val="center"/>
        <w:rPr>
          <w:rFonts w:ascii="Arial" w:eastAsia="Arial" w:hAnsi="Arial" w:cs="Arial"/>
          <w:b/>
          <w:noProof/>
          <w:sz w:val="20"/>
          <w:szCs w:val="20"/>
        </w:rPr>
      </w:pPr>
      <w:r w:rsidRPr="00853FE9">
        <w:rPr>
          <w:rFonts w:ascii="Arial" w:eastAsia="Arial" w:hAnsi="Arial" w:cs="Arial"/>
          <w:b/>
          <w:noProof/>
          <w:sz w:val="20"/>
          <w:szCs w:val="20"/>
        </w:rPr>
        <w:t xml:space="preserve">o spremembah </w:t>
      </w:r>
      <w:bookmarkStart w:id="0" w:name="_GoBack"/>
      <w:r w:rsidRPr="00853FE9">
        <w:rPr>
          <w:rFonts w:ascii="Arial" w:eastAsia="Arial" w:hAnsi="Arial" w:cs="Arial"/>
          <w:b/>
          <w:noProof/>
          <w:sz w:val="20"/>
          <w:szCs w:val="20"/>
        </w:rPr>
        <w:t>Uredbe o mejnih vrednostih kazalcev hrupa v okolju</w:t>
      </w:r>
      <w:bookmarkEnd w:id="0"/>
    </w:p>
    <w:p w:rsidR="00DE42F0" w:rsidRPr="00853FE9" w:rsidRDefault="00DE42F0">
      <w:pPr>
        <w:spacing w:after="210" w:line="360" w:lineRule="auto"/>
        <w:jc w:val="center"/>
        <w:rPr>
          <w:rFonts w:ascii="Arial" w:eastAsia="Arial" w:hAnsi="Arial" w:cs="Arial"/>
          <w:b/>
          <w:noProof/>
          <w:color w:val="333333"/>
          <w:sz w:val="20"/>
          <w:szCs w:val="20"/>
        </w:rPr>
      </w:pPr>
    </w:p>
    <w:p w:rsidR="00624464" w:rsidRPr="00853FE9" w:rsidRDefault="0017224C">
      <w:pPr>
        <w:spacing w:after="210" w:line="360" w:lineRule="auto"/>
        <w:jc w:val="center"/>
        <w:rPr>
          <w:rFonts w:ascii="Arial" w:eastAsia="Arial" w:hAnsi="Arial" w:cs="Arial"/>
          <w:b/>
          <w:noProof/>
          <w:color w:val="333333"/>
          <w:sz w:val="20"/>
          <w:szCs w:val="20"/>
        </w:rPr>
      </w:pPr>
      <w:r w:rsidRPr="00853FE9">
        <w:rPr>
          <w:rFonts w:ascii="Arial" w:eastAsia="Arial" w:hAnsi="Arial" w:cs="Arial"/>
          <w:b/>
          <w:noProof/>
          <w:color w:val="333333"/>
          <w:sz w:val="20"/>
          <w:szCs w:val="20"/>
        </w:rPr>
        <w:t>1. člen</w:t>
      </w:r>
    </w:p>
    <w:p w:rsidR="00624464" w:rsidRPr="00853FE9" w:rsidRDefault="0017224C">
      <w:pPr>
        <w:spacing w:after="210" w:line="240" w:lineRule="auto"/>
        <w:ind w:firstLine="240"/>
        <w:jc w:val="both"/>
        <w:rPr>
          <w:rFonts w:ascii="Arial" w:eastAsia="Arial" w:hAnsi="Arial" w:cs="Arial"/>
          <w:noProof/>
          <w:sz w:val="20"/>
          <w:szCs w:val="20"/>
        </w:rPr>
      </w:pPr>
      <w:r w:rsidRPr="00853FE9">
        <w:rPr>
          <w:rFonts w:ascii="Arial" w:eastAsia="Arial" w:hAnsi="Arial" w:cs="Arial"/>
          <w:noProof/>
          <w:color w:val="333333"/>
          <w:sz w:val="20"/>
          <w:szCs w:val="20"/>
        </w:rPr>
        <w:t>V šesti alinei 6. točke prvega odstavka 3. člena se v Uredbi o mejnih vrednostih kazalcev hrupa v okolju (Uradni list RS, št. 105/05, 34/08, 109/09 in 62/10) črta besedilo »</w:t>
      </w:r>
      <w:r w:rsidRPr="00853FE9">
        <w:rPr>
          <w:rFonts w:ascii="Arial" w:eastAsia="Arial" w:hAnsi="Arial" w:cs="Arial"/>
          <w:noProof/>
          <w:sz w:val="20"/>
          <w:szCs w:val="20"/>
        </w:rPr>
        <w:t>Za napravo šteje tudi gostinski ali zabaviščni lokal, za katerega je treba na podlagi meril iz 15. člena te uredbe pridobiti okoljevarstveno dovoljenje, ne glede na to, da se dejavnost izvaja v zagrajenem in prekritem prostoru stavbe,«</w:t>
      </w:r>
      <w:r w:rsidR="00F6125E" w:rsidRPr="00853FE9">
        <w:rPr>
          <w:rFonts w:ascii="Arial" w:eastAsia="Arial" w:hAnsi="Arial" w:cs="Arial"/>
          <w:noProof/>
          <w:sz w:val="20"/>
          <w:szCs w:val="20"/>
        </w:rPr>
        <w:t>.</w:t>
      </w:r>
    </w:p>
    <w:p w:rsidR="00DE42F0" w:rsidRPr="00853FE9" w:rsidRDefault="00DE42F0" w:rsidP="00DE42F0">
      <w:pPr>
        <w:spacing w:after="210" w:line="360" w:lineRule="auto"/>
        <w:jc w:val="center"/>
        <w:rPr>
          <w:rFonts w:ascii="Arial" w:eastAsia="Arial" w:hAnsi="Arial" w:cs="Arial"/>
          <w:b/>
          <w:noProof/>
          <w:color w:val="333333"/>
          <w:sz w:val="20"/>
          <w:szCs w:val="20"/>
        </w:rPr>
      </w:pPr>
      <w:r w:rsidRPr="00853FE9">
        <w:rPr>
          <w:rFonts w:ascii="Arial" w:eastAsia="Arial" w:hAnsi="Arial" w:cs="Arial"/>
          <w:b/>
          <w:noProof/>
          <w:color w:val="333333"/>
          <w:sz w:val="20"/>
          <w:szCs w:val="20"/>
        </w:rPr>
        <w:t>2. člen</w:t>
      </w:r>
    </w:p>
    <w:p w:rsidR="00F6125E" w:rsidRPr="00853FE9" w:rsidRDefault="00F6125E" w:rsidP="00F6125E">
      <w:pPr>
        <w:spacing w:after="240" w:line="240" w:lineRule="auto"/>
        <w:jc w:val="both"/>
        <w:rPr>
          <w:rFonts w:ascii="Arial" w:eastAsia="Arial" w:hAnsi="Arial" w:cs="Arial"/>
          <w:noProof/>
          <w:color w:val="2F2F2F"/>
          <w:sz w:val="20"/>
          <w:szCs w:val="20"/>
        </w:rPr>
      </w:pPr>
      <w:r w:rsidRPr="00853FE9">
        <w:rPr>
          <w:rFonts w:ascii="Arial" w:eastAsia="Arial" w:hAnsi="Arial" w:cs="Arial"/>
          <w:noProof/>
          <w:color w:val="2F2F2F"/>
          <w:sz w:val="20"/>
          <w:szCs w:val="20"/>
        </w:rPr>
        <w:t xml:space="preserve">»(7) Ne glede na določbe prejšnjega odstavka je obremenitev okolja zaradi hrupa čezmerna, če je hrup posledica obratovanja gradbišča kot naprave izven zaprtih in prekritih prostorov stavb, in sicer od ponedeljka do sobote v dnevnem času, če: </w:t>
      </w:r>
    </w:p>
    <w:p w:rsidR="00F6125E" w:rsidRPr="00853FE9" w:rsidRDefault="00F6125E" w:rsidP="00F6125E">
      <w:pPr>
        <w:spacing w:after="240" w:line="240" w:lineRule="auto"/>
        <w:ind w:left="600" w:hanging="360"/>
        <w:jc w:val="both"/>
        <w:rPr>
          <w:rFonts w:ascii="Arial" w:eastAsia="Arial" w:hAnsi="Arial" w:cs="Arial"/>
          <w:noProof/>
          <w:color w:val="2F2F2F"/>
          <w:sz w:val="20"/>
          <w:szCs w:val="20"/>
        </w:rPr>
      </w:pPr>
      <w:r w:rsidRPr="00853FE9">
        <w:rPr>
          <w:rFonts w:ascii="Arial" w:eastAsia="Arial" w:hAnsi="Arial" w:cs="Arial"/>
          <w:noProof/>
          <w:color w:val="000000"/>
          <w:sz w:val="20"/>
          <w:szCs w:val="20"/>
        </w:rPr>
        <w:t>-</w:t>
      </w:r>
      <w:r w:rsidRPr="00853FE9">
        <w:rPr>
          <w:rFonts w:ascii="Arial" w:eastAsia="Arial" w:hAnsi="Arial" w:cs="Arial"/>
          <w:noProof/>
          <w:color w:val="000000"/>
          <w:sz w:val="20"/>
          <w:szCs w:val="20"/>
        </w:rPr>
        <w:tab/>
      </w:r>
      <w:r w:rsidRPr="00853FE9">
        <w:rPr>
          <w:rFonts w:ascii="Arial" w:eastAsia="Arial" w:hAnsi="Arial" w:cs="Arial"/>
          <w:noProof/>
          <w:color w:val="2F2F2F"/>
          <w:sz w:val="20"/>
          <w:szCs w:val="20"/>
        </w:rPr>
        <w:t>vrednost kazalca hrupa</w:t>
      </w:r>
      <w:r w:rsidRPr="00853FE9">
        <w:rPr>
          <w:rFonts w:ascii="Arial" w:eastAsia="Arial" w:hAnsi="Arial" w:cs="Arial"/>
          <w:i/>
          <w:noProof/>
          <w:color w:val="2F2F2F"/>
          <w:sz w:val="20"/>
          <w:szCs w:val="20"/>
        </w:rPr>
        <w:t xml:space="preserve"> L</w:t>
      </w:r>
      <w:r w:rsidRPr="00853FE9">
        <w:rPr>
          <w:rFonts w:ascii="Arial" w:eastAsia="Arial" w:hAnsi="Arial" w:cs="Arial"/>
          <w:i/>
          <w:noProof/>
          <w:color w:val="2F2F2F"/>
          <w:sz w:val="20"/>
          <w:szCs w:val="20"/>
          <w:vertAlign w:val="subscript"/>
        </w:rPr>
        <w:t xml:space="preserve">dvn </w:t>
      </w:r>
      <w:r w:rsidRPr="00853FE9">
        <w:rPr>
          <w:rFonts w:ascii="Arial" w:eastAsia="Arial" w:hAnsi="Arial" w:cs="Arial"/>
          <w:noProof/>
          <w:color w:val="2F2F2F"/>
          <w:sz w:val="20"/>
          <w:szCs w:val="20"/>
        </w:rPr>
        <w:t>na kateremkoli mestu ocenjevanja na posameznem območju varstva pred hrupom presega kritično vrednost za trajno obremenjevanje okolja s hrupom, določeno za III. stopnjo varstva pred hrupom v preglednici 2 priloge 1 te uredbe ali,</w:t>
      </w:r>
    </w:p>
    <w:p w:rsidR="00F6125E" w:rsidRPr="00853FE9" w:rsidRDefault="00F6125E" w:rsidP="00F6125E">
      <w:pPr>
        <w:spacing w:after="240" w:line="240" w:lineRule="auto"/>
        <w:ind w:left="600" w:hanging="360"/>
        <w:jc w:val="both"/>
        <w:rPr>
          <w:rFonts w:ascii="Arial" w:eastAsia="Arial" w:hAnsi="Arial" w:cs="Arial"/>
          <w:noProof/>
          <w:color w:val="FF0000"/>
          <w:sz w:val="20"/>
          <w:szCs w:val="20"/>
        </w:rPr>
      </w:pPr>
      <w:r w:rsidRPr="00853FE9">
        <w:rPr>
          <w:rFonts w:ascii="Arial" w:eastAsia="Arial" w:hAnsi="Arial" w:cs="Arial"/>
          <w:noProof/>
          <w:color w:val="000000"/>
          <w:sz w:val="20"/>
          <w:szCs w:val="20"/>
        </w:rPr>
        <w:t>-</w:t>
      </w:r>
      <w:r w:rsidRPr="00853FE9">
        <w:rPr>
          <w:rFonts w:ascii="Arial" w:eastAsia="Arial" w:hAnsi="Arial" w:cs="Arial"/>
          <w:noProof/>
          <w:color w:val="000000"/>
          <w:sz w:val="20"/>
          <w:szCs w:val="20"/>
        </w:rPr>
        <w:tab/>
      </w:r>
      <w:r w:rsidRPr="00853FE9">
        <w:rPr>
          <w:rFonts w:ascii="Arial" w:eastAsia="Arial" w:hAnsi="Arial" w:cs="Arial"/>
          <w:noProof/>
          <w:color w:val="2F2F2F"/>
          <w:sz w:val="20"/>
          <w:szCs w:val="20"/>
        </w:rPr>
        <w:t xml:space="preserve">vrednost konične ravni hrupa L1 na kateremkoli mestu ocenjevanja presega mejno vrednost na </w:t>
      </w:r>
      <w:r w:rsidRPr="00853FE9">
        <w:rPr>
          <w:rFonts w:ascii="Arial" w:eastAsia="Arial" w:hAnsi="Arial" w:cs="Arial"/>
          <w:noProof/>
          <w:sz w:val="20"/>
          <w:szCs w:val="20"/>
        </w:rPr>
        <w:t>posameznem</w:t>
      </w:r>
      <w:r w:rsidRPr="00853FE9">
        <w:rPr>
          <w:rFonts w:ascii="Arial" w:eastAsia="Arial" w:hAnsi="Arial" w:cs="Arial"/>
          <w:noProof/>
          <w:color w:val="FF0000"/>
          <w:sz w:val="20"/>
          <w:szCs w:val="20"/>
        </w:rPr>
        <w:t xml:space="preserve"> </w:t>
      </w:r>
      <w:r w:rsidRPr="00853FE9">
        <w:rPr>
          <w:rFonts w:ascii="Arial" w:eastAsia="Arial" w:hAnsi="Arial" w:cs="Arial"/>
          <w:noProof/>
          <w:color w:val="2F2F2F"/>
          <w:sz w:val="20"/>
          <w:szCs w:val="20"/>
        </w:rPr>
        <w:t>območju varstva pred hrupom, določeno za III. stopnjo varstva pred hrupom v preglednici 5 priloge 1 te uredbe."</w:t>
      </w:r>
    </w:p>
    <w:p w:rsidR="00624464" w:rsidRPr="00853FE9" w:rsidRDefault="0017224C" w:rsidP="00DE42F0">
      <w:pPr>
        <w:spacing w:after="210" w:line="360" w:lineRule="auto"/>
        <w:jc w:val="center"/>
        <w:rPr>
          <w:rFonts w:ascii="Arial" w:eastAsia="Arial" w:hAnsi="Arial" w:cs="Arial"/>
          <w:b/>
          <w:noProof/>
          <w:color w:val="333333"/>
          <w:sz w:val="20"/>
          <w:szCs w:val="20"/>
        </w:rPr>
      </w:pPr>
      <w:r w:rsidRPr="00853FE9">
        <w:rPr>
          <w:rFonts w:ascii="Arial" w:eastAsia="Arial" w:hAnsi="Arial" w:cs="Arial"/>
          <w:b/>
          <w:noProof/>
          <w:color w:val="333333"/>
          <w:sz w:val="20"/>
          <w:szCs w:val="20"/>
        </w:rPr>
        <w:t>3. člen</w:t>
      </w:r>
    </w:p>
    <w:p w:rsidR="00624464" w:rsidRPr="00853FE9" w:rsidRDefault="0017224C">
      <w:pPr>
        <w:spacing w:after="210" w:line="240" w:lineRule="auto"/>
        <w:ind w:firstLine="240"/>
        <w:jc w:val="both"/>
        <w:rPr>
          <w:rFonts w:ascii="Arial" w:eastAsia="Arial" w:hAnsi="Arial" w:cs="Arial"/>
          <w:noProof/>
          <w:color w:val="333333"/>
          <w:sz w:val="20"/>
          <w:szCs w:val="20"/>
        </w:rPr>
      </w:pPr>
      <w:r w:rsidRPr="00853FE9">
        <w:rPr>
          <w:rFonts w:ascii="Arial" w:eastAsia="Arial" w:hAnsi="Arial" w:cs="Arial"/>
          <w:noProof/>
          <w:color w:val="333333"/>
          <w:sz w:val="20"/>
          <w:szCs w:val="20"/>
        </w:rPr>
        <w:t>Tretji odstavek 10. člena se spremeni tako, da se glasi:</w:t>
      </w:r>
    </w:p>
    <w:p w:rsidR="00624464" w:rsidRPr="00853FE9" w:rsidRDefault="0017224C">
      <w:pPr>
        <w:spacing w:after="210" w:line="240" w:lineRule="auto"/>
        <w:ind w:firstLine="240"/>
        <w:jc w:val="both"/>
        <w:rPr>
          <w:rFonts w:ascii="Arial" w:eastAsia="Arial" w:hAnsi="Arial" w:cs="Arial"/>
          <w:noProof/>
          <w:color w:val="333333"/>
          <w:sz w:val="20"/>
          <w:szCs w:val="20"/>
        </w:rPr>
      </w:pPr>
      <w:r w:rsidRPr="00853FE9">
        <w:rPr>
          <w:rFonts w:ascii="Arial" w:eastAsia="Arial" w:hAnsi="Arial" w:cs="Arial"/>
          <w:noProof/>
          <w:color w:val="333333"/>
          <w:sz w:val="20"/>
          <w:szCs w:val="20"/>
        </w:rPr>
        <w:t xml:space="preserve">»(3) Ne glede na določbe prvega in drugega odstavka tega člena lahko nov vir </w:t>
      </w:r>
      <w:r w:rsidR="008453CD" w:rsidRPr="00853FE9">
        <w:rPr>
          <w:rFonts w:ascii="Arial" w:eastAsia="Arial" w:hAnsi="Arial" w:cs="Arial"/>
          <w:noProof/>
          <w:color w:val="333333"/>
          <w:sz w:val="20"/>
          <w:szCs w:val="20"/>
        </w:rPr>
        <w:t xml:space="preserve">hrupa </w:t>
      </w:r>
      <w:r w:rsidRPr="00853FE9">
        <w:rPr>
          <w:rFonts w:ascii="Arial" w:eastAsia="Arial" w:hAnsi="Arial" w:cs="Arial"/>
          <w:noProof/>
          <w:color w:val="333333"/>
          <w:sz w:val="20"/>
          <w:szCs w:val="20"/>
        </w:rPr>
        <w:t xml:space="preserve">poveča celotno obremenitev območja varstva pred hrupom, če je nov vir hrupa cesta, železniška proga ali gradbišče izven zaprtih in prekritih prostorov stavb in če celotno obremenitev območja varstva pred hrupom po posegu novega vira </w:t>
      </w:r>
      <w:r w:rsidR="008453CD" w:rsidRPr="00853FE9">
        <w:rPr>
          <w:rFonts w:ascii="Arial" w:eastAsia="Arial" w:hAnsi="Arial" w:cs="Arial"/>
          <w:noProof/>
          <w:color w:val="333333"/>
          <w:sz w:val="20"/>
          <w:szCs w:val="20"/>
        </w:rPr>
        <w:t xml:space="preserve">hrupa </w:t>
      </w:r>
      <w:r w:rsidRPr="00853FE9">
        <w:rPr>
          <w:rFonts w:ascii="Arial" w:eastAsia="Arial" w:hAnsi="Arial" w:cs="Arial"/>
          <w:noProof/>
          <w:color w:val="333333"/>
          <w:sz w:val="20"/>
          <w:szCs w:val="20"/>
        </w:rPr>
        <w:t>v okolje v skladu z določbami drugega, tretjega in sedmega odstavka prejšnjega člena ni čezmerna.«.</w:t>
      </w:r>
    </w:p>
    <w:p w:rsidR="00624464" w:rsidRPr="00853FE9" w:rsidRDefault="0017224C">
      <w:pPr>
        <w:spacing w:after="240" w:line="240" w:lineRule="auto"/>
        <w:jc w:val="both"/>
        <w:rPr>
          <w:rFonts w:ascii="Arial" w:eastAsia="Arial" w:hAnsi="Arial" w:cs="Arial"/>
          <w:noProof/>
          <w:color w:val="2F2F2F"/>
          <w:sz w:val="20"/>
          <w:szCs w:val="20"/>
        </w:rPr>
      </w:pPr>
      <w:r w:rsidRPr="00853FE9">
        <w:rPr>
          <w:rFonts w:ascii="Arial" w:eastAsia="Arial" w:hAnsi="Arial" w:cs="Arial"/>
          <w:noProof/>
          <w:color w:val="2F2F2F"/>
          <w:sz w:val="20"/>
          <w:szCs w:val="20"/>
        </w:rPr>
        <w:t>V prvi alineji četrtega odstavka 10. člena se besedilo spremeni tako, da se glasi:</w:t>
      </w:r>
    </w:p>
    <w:p w:rsidR="00624464" w:rsidRPr="00853FE9" w:rsidRDefault="0017224C">
      <w:pPr>
        <w:spacing w:after="240" w:line="240" w:lineRule="auto"/>
        <w:ind w:left="360"/>
        <w:jc w:val="both"/>
        <w:rPr>
          <w:rFonts w:ascii="Arial" w:eastAsia="Arial" w:hAnsi="Arial" w:cs="Arial"/>
          <w:noProof/>
          <w:color w:val="2F2F2F"/>
          <w:sz w:val="20"/>
          <w:szCs w:val="20"/>
        </w:rPr>
      </w:pPr>
      <w:r w:rsidRPr="00853FE9">
        <w:rPr>
          <w:rFonts w:ascii="Arial" w:eastAsia="Arial" w:hAnsi="Arial" w:cs="Arial"/>
          <w:noProof/>
          <w:color w:val="2F2F2F"/>
          <w:sz w:val="20"/>
          <w:szCs w:val="20"/>
        </w:rPr>
        <w:t>»- ne sme povzročiti čezmerne obremenitve okolja v skladu z določbami četrtega, petega, šestega in sedmega odstavka prejšnjega člena in«.</w:t>
      </w:r>
    </w:p>
    <w:p w:rsidR="00DE42F0" w:rsidRPr="00853FE9" w:rsidRDefault="0017224C" w:rsidP="00DE42F0">
      <w:pPr>
        <w:spacing w:after="210" w:line="360" w:lineRule="auto"/>
        <w:jc w:val="center"/>
        <w:rPr>
          <w:rFonts w:ascii="Arial" w:eastAsia="Arial" w:hAnsi="Arial" w:cs="Arial"/>
          <w:b/>
          <w:noProof/>
          <w:color w:val="333333"/>
          <w:sz w:val="20"/>
          <w:szCs w:val="20"/>
        </w:rPr>
      </w:pPr>
      <w:r w:rsidRPr="00853FE9">
        <w:rPr>
          <w:rFonts w:ascii="Arial" w:eastAsia="Arial" w:hAnsi="Arial" w:cs="Arial"/>
          <w:b/>
          <w:noProof/>
          <w:color w:val="333333"/>
          <w:sz w:val="20"/>
          <w:szCs w:val="20"/>
        </w:rPr>
        <w:t>4. člen</w:t>
      </w:r>
    </w:p>
    <w:p w:rsidR="00624464" w:rsidRPr="00853FE9" w:rsidRDefault="0017224C" w:rsidP="00DE42F0">
      <w:pPr>
        <w:spacing w:after="210" w:line="360" w:lineRule="auto"/>
        <w:jc w:val="center"/>
        <w:rPr>
          <w:rFonts w:ascii="Arial" w:eastAsia="Arial" w:hAnsi="Arial" w:cs="Arial"/>
          <w:b/>
          <w:noProof/>
          <w:color w:val="333333"/>
          <w:sz w:val="20"/>
          <w:szCs w:val="20"/>
        </w:rPr>
      </w:pPr>
      <w:r w:rsidRPr="00853FE9">
        <w:rPr>
          <w:rFonts w:ascii="Arial" w:eastAsia="Arial" w:hAnsi="Arial" w:cs="Arial"/>
          <w:noProof/>
          <w:color w:val="333333"/>
          <w:sz w:val="20"/>
          <w:szCs w:val="20"/>
        </w:rPr>
        <w:t xml:space="preserve">V prvem odstavku 11. člena se besedilo »in šestim,« nadomesti z besedilom »šestim in sedmim«. </w:t>
      </w:r>
    </w:p>
    <w:p w:rsidR="00624464" w:rsidRPr="00853FE9" w:rsidRDefault="0017224C" w:rsidP="00DE42F0">
      <w:pPr>
        <w:spacing w:after="210" w:line="360" w:lineRule="auto"/>
        <w:jc w:val="center"/>
        <w:rPr>
          <w:rFonts w:ascii="Arial" w:eastAsia="Arial" w:hAnsi="Arial" w:cs="Arial"/>
          <w:b/>
          <w:noProof/>
          <w:color w:val="333333"/>
          <w:sz w:val="20"/>
          <w:szCs w:val="20"/>
        </w:rPr>
      </w:pPr>
      <w:r w:rsidRPr="00853FE9">
        <w:rPr>
          <w:rFonts w:ascii="Arial" w:eastAsia="Arial" w:hAnsi="Arial" w:cs="Arial"/>
          <w:b/>
          <w:noProof/>
          <w:color w:val="333333"/>
          <w:sz w:val="20"/>
          <w:szCs w:val="20"/>
        </w:rPr>
        <w:lastRenderedPageBreak/>
        <w:t>5. člen</w:t>
      </w:r>
    </w:p>
    <w:p w:rsidR="00624464" w:rsidRPr="00853FE9" w:rsidRDefault="0017224C">
      <w:pPr>
        <w:spacing w:after="210" w:line="240" w:lineRule="auto"/>
        <w:ind w:firstLine="240"/>
        <w:jc w:val="both"/>
        <w:rPr>
          <w:rFonts w:ascii="Arial" w:eastAsia="Arial" w:hAnsi="Arial" w:cs="Arial"/>
          <w:noProof/>
          <w:color w:val="333333"/>
          <w:sz w:val="20"/>
          <w:szCs w:val="20"/>
        </w:rPr>
      </w:pPr>
      <w:r w:rsidRPr="00853FE9">
        <w:rPr>
          <w:rFonts w:ascii="Arial" w:eastAsia="Arial" w:hAnsi="Arial" w:cs="Arial"/>
          <w:noProof/>
          <w:color w:val="333333"/>
          <w:sz w:val="20"/>
          <w:szCs w:val="20"/>
        </w:rPr>
        <w:t xml:space="preserve">V prvem odstavku 15. člena se besedilo »prejšnjega,« nadomesti z »14.«. </w:t>
      </w:r>
    </w:p>
    <w:p w:rsidR="00624464" w:rsidRPr="00853FE9" w:rsidRDefault="00624464">
      <w:pPr>
        <w:spacing w:after="210" w:line="240" w:lineRule="auto"/>
        <w:jc w:val="center"/>
        <w:rPr>
          <w:rFonts w:ascii="Arial" w:eastAsia="Arial" w:hAnsi="Arial" w:cs="Arial"/>
          <w:b/>
          <w:noProof/>
          <w:color w:val="333333"/>
          <w:sz w:val="20"/>
          <w:szCs w:val="20"/>
        </w:rPr>
      </w:pPr>
    </w:p>
    <w:p w:rsidR="00624464" w:rsidRPr="00853FE9" w:rsidRDefault="0017224C" w:rsidP="00DE42F0">
      <w:pPr>
        <w:spacing w:after="210" w:line="360" w:lineRule="auto"/>
        <w:jc w:val="center"/>
        <w:rPr>
          <w:rFonts w:ascii="Arial" w:eastAsia="Arial" w:hAnsi="Arial" w:cs="Arial"/>
          <w:b/>
          <w:noProof/>
          <w:color w:val="333333"/>
          <w:sz w:val="20"/>
          <w:szCs w:val="20"/>
        </w:rPr>
      </w:pPr>
      <w:r w:rsidRPr="00853FE9">
        <w:rPr>
          <w:rFonts w:ascii="Arial" w:eastAsia="Arial" w:hAnsi="Arial" w:cs="Arial"/>
          <w:b/>
          <w:noProof/>
          <w:color w:val="333333"/>
          <w:sz w:val="20"/>
          <w:szCs w:val="20"/>
        </w:rPr>
        <w:t>6. člen</w:t>
      </w:r>
    </w:p>
    <w:p w:rsidR="00624464" w:rsidRPr="00853FE9" w:rsidRDefault="0017224C">
      <w:pPr>
        <w:spacing w:after="210" w:line="240" w:lineRule="auto"/>
        <w:ind w:firstLine="240"/>
        <w:jc w:val="both"/>
        <w:rPr>
          <w:rFonts w:ascii="Arial" w:eastAsia="Arial" w:hAnsi="Arial" w:cs="Arial"/>
          <w:noProof/>
          <w:color w:val="333333"/>
          <w:sz w:val="20"/>
          <w:szCs w:val="20"/>
        </w:rPr>
      </w:pPr>
      <w:r w:rsidRPr="00853FE9">
        <w:rPr>
          <w:rFonts w:ascii="Arial" w:eastAsia="Arial" w:hAnsi="Arial" w:cs="Arial"/>
          <w:noProof/>
          <w:color w:val="333333"/>
          <w:sz w:val="20"/>
          <w:szCs w:val="20"/>
        </w:rPr>
        <w:t>Ta uredba začne veljati naslednji dan po objavi v Uradnem listu Republike Slovenije.</w:t>
      </w:r>
    </w:p>
    <w:p w:rsidR="00624464" w:rsidRPr="00853FE9" w:rsidRDefault="00624464">
      <w:pPr>
        <w:spacing w:after="210" w:line="240" w:lineRule="auto"/>
        <w:ind w:firstLine="240"/>
        <w:jc w:val="both"/>
        <w:rPr>
          <w:rFonts w:ascii="Arial" w:eastAsia="Arial" w:hAnsi="Arial" w:cs="Arial"/>
          <w:noProof/>
          <w:color w:val="333333"/>
          <w:sz w:val="20"/>
          <w:szCs w:val="20"/>
        </w:rPr>
      </w:pPr>
    </w:p>
    <w:p w:rsidR="00624464" w:rsidRPr="00853FE9" w:rsidRDefault="0017224C">
      <w:pPr>
        <w:spacing w:after="0" w:line="260" w:lineRule="auto"/>
        <w:rPr>
          <w:rFonts w:ascii="Arial" w:eastAsia="Arial" w:hAnsi="Arial" w:cs="Arial"/>
          <w:noProof/>
          <w:sz w:val="20"/>
          <w:szCs w:val="20"/>
        </w:rPr>
      </w:pPr>
      <w:r w:rsidRPr="00853FE9">
        <w:rPr>
          <w:rFonts w:ascii="Arial" w:eastAsia="Arial" w:hAnsi="Arial" w:cs="Arial"/>
          <w:noProof/>
          <w:sz w:val="20"/>
          <w:szCs w:val="20"/>
        </w:rPr>
        <w:t xml:space="preserve">Št. </w:t>
      </w:r>
    </w:p>
    <w:p w:rsidR="00624464" w:rsidRPr="00853FE9" w:rsidRDefault="0017224C">
      <w:pPr>
        <w:spacing w:after="0" w:line="260" w:lineRule="auto"/>
        <w:rPr>
          <w:rFonts w:ascii="Arial" w:eastAsia="Arial" w:hAnsi="Arial" w:cs="Arial"/>
          <w:noProof/>
          <w:sz w:val="20"/>
          <w:szCs w:val="20"/>
        </w:rPr>
      </w:pPr>
      <w:r w:rsidRPr="00853FE9">
        <w:rPr>
          <w:rFonts w:ascii="Arial" w:eastAsia="Arial" w:hAnsi="Arial" w:cs="Arial"/>
          <w:noProof/>
          <w:sz w:val="20"/>
          <w:szCs w:val="20"/>
        </w:rPr>
        <w:t xml:space="preserve">Ljubljana, </w:t>
      </w:r>
      <w:r w:rsidR="00853FE9" w:rsidRPr="00853FE9">
        <w:rPr>
          <w:rFonts w:ascii="Arial" w:eastAsia="Arial" w:hAnsi="Arial" w:cs="Arial"/>
          <w:noProof/>
          <w:sz w:val="20"/>
          <w:szCs w:val="20"/>
        </w:rPr>
        <w:t>…..</w:t>
      </w:r>
      <w:r w:rsidRPr="00853FE9">
        <w:rPr>
          <w:rFonts w:ascii="Arial" w:eastAsia="Arial" w:hAnsi="Arial" w:cs="Arial"/>
          <w:noProof/>
          <w:sz w:val="20"/>
          <w:szCs w:val="20"/>
        </w:rPr>
        <w:t xml:space="preserve"> </w:t>
      </w:r>
      <w:r w:rsidR="00D01D15" w:rsidRPr="00853FE9">
        <w:rPr>
          <w:rFonts w:ascii="Arial" w:eastAsia="Arial" w:hAnsi="Arial" w:cs="Arial"/>
          <w:noProof/>
          <w:sz w:val="20"/>
          <w:szCs w:val="20"/>
        </w:rPr>
        <w:t>september</w:t>
      </w:r>
      <w:r w:rsidRPr="00853FE9">
        <w:rPr>
          <w:rFonts w:ascii="Arial" w:eastAsia="Arial" w:hAnsi="Arial" w:cs="Arial"/>
          <w:noProof/>
          <w:sz w:val="20"/>
          <w:szCs w:val="20"/>
        </w:rPr>
        <w:t xml:space="preserve"> 2014</w:t>
      </w:r>
    </w:p>
    <w:p w:rsidR="00624464" w:rsidRPr="00853FE9" w:rsidRDefault="0017224C">
      <w:pPr>
        <w:spacing w:after="0" w:line="260" w:lineRule="auto"/>
        <w:rPr>
          <w:rFonts w:ascii="Arial" w:eastAsia="Arial" w:hAnsi="Arial" w:cs="Arial"/>
          <w:noProof/>
          <w:sz w:val="20"/>
          <w:szCs w:val="20"/>
        </w:rPr>
      </w:pPr>
      <w:r w:rsidRPr="00853FE9">
        <w:rPr>
          <w:rFonts w:ascii="Arial" w:eastAsia="Arial" w:hAnsi="Arial" w:cs="Arial"/>
          <w:noProof/>
          <w:sz w:val="20"/>
          <w:szCs w:val="20"/>
        </w:rPr>
        <w:t xml:space="preserve">EVA </w:t>
      </w:r>
      <w:r w:rsidR="006D074A">
        <w:rPr>
          <w:rFonts w:ascii="Arial" w:eastAsia="Arial" w:hAnsi="Arial" w:cs="Arial"/>
          <w:noProof/>
          <w:sz w:val="20"/>
          <w:szCs w:val="20"/>
        </w:rPr>
        <w:t>2014-2330-0102</w:t>
      </w:r>
    </w:p>
    <w:p w:rsidR="00624464" w:rsidRPr="00853FE9" w:rsidRDefault="00624464">
      <w:pPr>
        <w:spacing w:after="0" w:line="260" w:lineRule="auto"/>
        <w:rPr>
          <w:rFonts w:ascii="Arial" w:eastAsia="Arial" w:hAnsi="Arial" w:cs="Arial"/>
          <w:noProof/>
          <w:sz w:val="20"/>
          <w:szCs w:val="20"/>
        </w:rPr>
      </w:pPr>
    </w:p>
    <w:p w:rsidR="006B2704" w:rsidRPr="00853FE9" w:rsidRDefault="006B2704">
      <w:pPr>
        <w:spacing w:after="0" w:line="260" w:lineRule="auto"/>
        <w:ind w:left="5040" w:firstLine="720"/>
        <w:jc w:val="both"/>
        <w:rPr>
          <w:rFonts w:ascii="Arial" w:eastAsia="Arial" w:hAnsi="Arial" w:cs="Arial"/>
          <w:noProof/>
          <w:sz w:val="20"/>
          <w:szCs w:val="20"/>
        </w:rPr>
      </w:pPr>
    </w:p>
    <w:p w:rsidR="00624464" w:rsidRPr="00853FE9" w:rsidRDefault="0017224C">
      <w:pPr>
        <w:spacing w:after="0" w:line="260" w:lineRule="auto"/>
        <w:ind w:left="5040" w:firstLine="720"/>
        <w:jc w:val="both"/>
        <w:rPr>
          <w:rFonts w:ascii="Arial" w:eastAsia="Arial" w:hAnsi="Arial" w:cs="Arial"/>
          <w:noProof/>
          <w:sz w:val="20"/>
          <w:szCs w:val="20"/>
        </w:rPr>
      </w:pPr>
      <w:r w:rsidRPr="00853FE9">
        <w:rPr>
          <w:rFonts w:ascii="Arial" w:eastAsia="Arial" w:hAnsi="Arial" w:cs="Arial"/>
          <w:noProof/>
          <w:sz w:val="20"/>
          <w:szCs w:val="20"/>
        </w:rPr>
        <w:t xml:space="preserve">     Vlada Republike Slovenije</w:t>
      </w:r>
    </w:p>
    <w:p w:rsidR="00624464" w:rsidRPr="00853FE9" w:rsidRDefault="0017224C">
      <w:pPr>
        <w:spacing w:after="0" w:line="260" w:lineRule="auto"/>
        <w:ind w:left="5664" w:firstLine="708"/>
        <w:rPr>
          <w:rFonts w:ascii="Arial" w:eastAsia="Arial" w:hAnsi="Arial" w:cs="Arial"/>
          <w:noProof/>
          <w:sz w:val="20"/>
          <w:szCs w:val="20"/>
        </w:rPr>
      </w:pPr>
      <w:r w:rsidRPr="00853FE9">
        <w:rPr>
          <w:rFonts w:ascii="Arial" w:eastAsia="Arial" w:hAnsi="Arial" w:cs="Arial"/>
          <w:noProof/>
          <w:sz w:val="20"/>
          <w:szCs w:val="20"/>
        </w:rPr>
        <w:t>Alenka Bratušek l.r.</w:t>
      </w:r>
    </w:p>
    <w:p w:rsidR="00624464" w:rsidRPr="00853FE9" w:rsidRDefault="0017224C">
      <w:pPr>
        <w:spacing w:after="0" w:line="260" w:lineRule="auto"/>
        <w:rPr>
          <w:rFonts w:ascii="Arial" w:eastAsia="Arial" w:hAnsi="Arial" w:cs="Arial"/>
          <w:noProof/>
          <w:sz w:val="20"/>
          <w:szCs w:val="20"/>
        </w:rPr>
      </w:pPr>
      <w:r w:rsidRPr="00853FE9">
        <w:rPr>
          <w:rFonts w:ascii="Arial" w:eastAsia="Arial" w:hAnsi="Arial" w:cs="Arial"/>
          <w:noProof/>
          <w:sz w:val="20"/>
          <w:szCs w:val="20"/>
        </w:rPr>
        <w:tab/>
      </w:r>
      <w:r w:rsidRPr="00853FE9">
        <w:rPr>
          <w:rFonts w:ascii="Arial" w:eastAsia="Arial" w:hAnsi="Arial" w:cs="Arial"/>
          <w:noProof/>
          <w:sz w:val="20"/>
          <w:szCs w:val="20"/>
        </w:rPr>
        <w:tab/>
      </w:r>
      <w:r w:rsidRPr="00853FE9">
        <w:rPr>
          <w:rFonts w:ascii="Arial" w:eastAsia="Arial" w:hAnsi="Arial" w:cs="Arial"/>
          <w:noProof/>
          <w:sz w:val="20"/>
          <w:szCs w:val="20"/>
        </w:rPr>
        <w:tab/>
      </w:r>
      <w:r w:rsidRPr="00853FE9">
        <w:rPr>
          <w:rFonts w:ascii="Arial" w:eastAsia="Arial" w:hAnsi="Arial" w:cs="Arial"/>
          <w:noProof/>
          <w:sz w:val="20"/>
          <w:szCs w:val="20"/>
        </w:rPr>
        <w:tab/>
      </w:r>
      <w:r w:rsidRPr="00853FE9">
        <w:rPr>
          <w:rFonts w:ascii="Arial" w:eastAsia="Arial" w:hAnsi="Arial" w:cs="Arial"/>
          <w:noProof/>
          <w:sz w:val="20"/>
          <w:szCs w:val="20"/>
        </w:rPr>
        <w:tab/>
      </w:r>
      <w:r w:rsidRPr="00853FE9">
        <w:rPr>
          <w:rFonts w:ascii="Arial" w:eastAsia="Arial" w:hAnsi="Arial" w:cs="Arial"/>
          <w:noProof/>
          <w:sz w:val="20"/>
          <w:szCs w:val="20"/>
        </w:rPr>
        <w:tab/>
      </w:r>
      <w:r w:rsidRPr="00853FE9">
        <w:rPr>
          <w:rFonts w:ascii="Arial" w:eastAsia="Arial" w:hAnsi="Arial" w:cs="Arial"/>
          <w:noProof/>
          <w:sz w:val="20"/>
          <w:szCs w:val="20"/>
        </w:rPr>
        <w:tab/>
      </w:r>
      <w:r w:rsidRPr="00853FE9">
        <w:rPr>
          <w:rFonts w:ascii="Arial" w:eastAsia="Arial" w:hAnsi="Arial" w:cs="Arial"/>
          <w:noProof/>
          <w:sz w:val="20"/>
          <w:szCs w:val="20"/>
        </w:rPr>
        <w:tab/>
        <w:t xml:space="preserve">               PREDSEDNICA</w:t>
      </w:r>
    </w:p>
    <w:p w:rsidR="00624464" w:rsidRPr="00853FE9" w:rsidRDefault="00624464">
      <w:pPr>
        <w:tabs>
          <w:tab w:val="left" w:pos="708"/>
        </w:tabs>
        <w:spacing w:after="0" w:line="260" w:lineRule="auto"/>
        <w:rPr>
          <w:rFonts w:ascii="Arial" w:eastAsia="Arial" w:hAnsi="Arial" w:cs="Arial"/>
          <w:b/>
          <w:noProof/>
          <w:sz w:val="20"/>
          <w:szCs w:val="20"/>
        </w:rPr>
      </w:pPr>
    </w:p>
    <w:p w:rsidR="00624464" w:rsidRPr="00853FE9" w:rsidRDefault="00624464">
      <w:pPr>
        <w:tabs>
          <w:tab w:val="left" w:pos="708"/>
        </w:tabs>
        <w:spacing w:after="0" w:line="260" w:lineRule="auto"/>
        <w:jc w:val="both"/>
        <w:rPr>
          <w:rFonts w:ascii="Arial" w:eastAsia="Arial" w:hAnsi="Arial" w:cs="Arial"/>
          <w:noProof/>
          <w:sz w:val="20"/>
        </w:rPr>
      </w:pPr>
    </w:p>
    <w:p w:rsidR="00624464" w:rsidRPr="00853FE9" w:rsidRDefault="00624464">
      <w:pPr>
        <w:tabs>
          <w:tab w:val="left" w:pos="708"/>
        </w:tabs>
        <w:spacing w:after="0" w:line="260" w:lineRule="auto"/>
        <w:jc w:val="both"/>
        <w:rPr>
          <w:rFonts w:ascii="Arial" w:eastAsia="Arial" w:hAnsi="Arial" w:cs="Arial"/>
          <w:noProof/>
          <w:sz w:val="20"/>
        </w:rPr>
      </w:pPr>
    </w:p>
    <w:p w:rsidR="00624464" w:rsidRPr="00853FE9" w:rsidRDefault="00624464">
      <w:pPr>
        <w:tabs>
          <w:tab w:val="left" w:pos="708"/>
        </w:tabs>
        <w:spacing w:after="0" w:line="260" w:lineRule="auto"/>
        <w:jc w:val="both"/>
        <w:rPr>
          <w:rFonts w:ascii="Arial" w:eastAsia="Arial" w:hAnsi="Arial" w:cs="Arial"/>
          <w:noProof/>
          <w:sz w:val="20"/>
        </w:rPr>
      </w:pPr>
    </w:p>
    <w:p w:rsidR="00624464" w:rsidRPr="00853FE9" w:rsidRDefault="00624464">
      <w:pPr>
        <w:tabs>
          <w:tab w:val="left" w:pos="708"/>
        </w:tabs>
        <w:spacing w:after="0" w:line="260" w:lineRule="auto"/>
        <w:jc w:val="both"/>
        <w:rPr>
          <w:rFonts w:ascii="Arial" w:eastAsia="Arial" w:hAnsi="Arial" w:cs="Arial"/>
          <w:noProof/>
          <w:sz w:val="20"/>
        </w:rPr>
      </w:pPr>
    </w:p>
    <w:p w:rsidR="00624464" w:rsidRPr="00853FE9" w:rsidRDefault="00624464">
      <w:pPr>
        <w:tabs>
          <w:tab w:val="left" w:pos="708"/>
        </w:tabs>
        <w:spacing w:after="0" w:line="260" w:lineRule="auto"/>
        <w:jc w:val="both"/>
        <w:rPr>
          <w:rFonts w:ascii="Arial" w:eastAsia="Arial" w:hAnsi="Arial" w:cs="Arial"/>
          <w:noProof/>
          <w:sz w:val="20"/>
        </w:rPr>
      </w:pPr>
    </w:p>
    <w:p w:rsidR="00624464" w:rsidRPr="00853FE9" w:rsidRDefault="00624464">
      <w:pPr>
        <w:tabs>
          <w:tab w:val="left" w:pos="708"/>
        </w:tabs>
        <w:spacing w:after="0" w:line="260" w:lineRule="auto"/>
        <w:jc w:val="both"/>
        <w:rPr>
          <w:rFonts w:ascii="Arial" w:eastAsia="Arial" w:hAnsi="Arial" w:cs="Arial"/>
          <w:noProof/>
          <w:sz w:val="20"/>
        </w:rPr>
      </w:pPr>
    </w:p>
    <w:p w:rsidR="00624464" w:rsidRPr="00853FE9" w:rsidRDefault="00624464">
      <w:pPr>
        <w:tabs>
          <w:tab w:val="left" w:pos="708"/>
        </w:tabs>
        <w:spacing w:after="0" w:line="260" w:lineRule="auto"/>
        <w:jc w:val="both"/>
        <w:rPr>
          <w:rFonts w:ascii="Arial" w:eastAsia="Arial" w:hAnsi="Arial" w:cs="Arial"/>
          <w:noProof/>
          <w:sz w:val="20"/>
        </w:rPr>
      </w:pPr>
    </w:p>
    <w:p w:rsidR="00624464" w:rsidRPr="00853FE9" w:rsidRDefault="00624464">
      <w:pPr>
        <w:tabs>
          <w:tab w:val="left" w:pos="708"/>
        </w:tabs>
        <w:spacing w:after="0" w:line="260" w:lineRule="auto"/>
        <w:jc w:val="both"/>
        <w:rPr>
          <w:rFonts w:ascii="Arial" w:eastAsia="Arial" w:hAnsi="Arial" w:cs="Arial"/>
          <w:noProof/>
          <w:sz w:val="20"/>
        </w:rPr>
      </w:pPr>
    </w:p>
    <w:p w:rsidR="00624464" w:rsidRPr="00853FE9" w:rsidRDefault="00624464">
      <w:pPr>
        <w:tabs>
          <w:tab w:val="left" w:pos="708"/>
        </w:tabs>
        <w:spacing w:after="0" w:line="260" w:lineRule="auto"/>
        <w:jc w:val="both"/>
        <w:rPr>
          <w:rFonts w:ascii="Arial" w:eastAsia="Arial" w:hAnsi="Arial" w:cs="Arial"/>
          <w:noProof/>
          <w:sz w:val="20"/>
        </w:rPr>
      </w:pPr>
    </w:p>
    <w:p w:rsidR="00624464" w:rsidRPr="00853FE9" w:rsidRDefault="00624464">
      <w:pPr>
        <w:tabs>
          <w:tab w:val="left" w:pos="708"/>
        </w:tabs>
        <w:spacing w:after="0" w:line="260" w:lineRule="auto"/>
        <w:jc w:val="both"/>
        <w:rPr>
          <w:rFonts w:ascii="Arial" w:eastAsia="Arial" w:hAnsi="Arial" w:cs="Arial"/>
          <w:noProof/>
          <w:sz w:val="20"/>
        </w:rPr>
      </w:pPr>
    </w:p>
    <w:p w:rsidR="00624464" w:rsidRPr="00853FE9" w:rsidRDefault="00624464">
      <w:pPr>
        <w:tabs>
          <w:tab w:val="left" w:pos="708"/>
        </w:tabs>
        <w:spacing w:after="0" w:line="260" w:lineRule="auto"/>
        <w:jc w:val="both"/>
        <w:rPr>
          <w:rFonts w:ascii="Arial" w:eastAsia="Arial" w:hAnsi="Arial" w:cs="Arial"/>
          <w:noProof/>
          <w:sz w:val="20"/>
        </w:rPr>
      </w:pPr>
    </w:p>
    <w:p w:rsidR="00624464" w:rsidRPr="00853FE9" w:rsidRDefault="00624464">
      <w:pPr>
        <w:tabs>
          <w:tab w:val="left" w:pos="708"/>
        </w:tabs>
        <w:spacing w:after="0" w:line="260" w:lineRule="auto"/>
        <w:jc w:val="both"/>
        <w:rPr>
          <w:rFonts w:ascii="Arial" w:eastAsia="Arial" w:hAnsi="Arial" w:cs="Arial"/>
          <w:noProof/>
          <w:sz w:val="20"/>
        </w:rPr>
      </w:pPr>
    </w:p>
    <w:p w:rsidR="00624464" w:rsidRPr="00853FE9" w:rsidRDefault="00624464">
      <w:pPr>
        <w:tabs>
          <w:tab w:val="left" w:pos="708"/>
        </w:tabs>
        <w:spacing w:after="0" w:line="260" w:lineRule="auto"/>
        <w:jc w:val="both"/>
        <w:rPr>
          <w:rFonts w:ascii="Arial" w:eastAsia="Arial" w:hAnsi="Arial" w:cs="Arial"/>
          <w:noProof/>
          <w:sz w:val="20"/>
        </w:rPr>
      </w:pPr>
    </w:p>
    <w:p w:rsidR="00624464" w:rsidRPr="00853FE9" w:rsidRDefault="00624464">
      <w:pPr>
        <w:tabs>
          <w:tab w:val="left" w:pos="708"/>
        </w:tabs>
        <w:spacing w:after="0" w:line="260" w:lineRule="auto"/>
        <w:jc w:val="both"/>
        <w:rPr>
          <w:rFonts w:ascii="Arial" w:eastAsia="Arial" w:hAnsi="Arial" w:cs="Arial"/>
          <w:noProof/>
          <w:sz w:val="20"/>
        </w:rPr>
      </w:pPr>
    </w:p>
    <w:p w:rsidR="00624464" w:rsidRPr="00853FE9" w:rsidRDefault="00624464">
      <w:pPr>
        <w:tabs>
          <w:tab w:val="left" w:pos="708"/>
        </w:tabs>
        <w:spacing w:after="0" w:line="260" w:lineRule="auto"/>
        <w:jc w:val="both"/>
        <w:rPr>
          <w:rFonts w:ascii="Arial" w:eastAsia="Arial" w:hAnsi="Arial" w:cs="Arial"/>
          <w:noProof/>
          <w:sz w:val="20"/>
        </w:rPr>
      </w:pPr>
    </w:p>
    <w:p w:rsidR="00624464" w:rsidRPr="00853FE9" w:rsidRDefault="00624464">
      <w:pPr>
        <w:tabs>
          <w:tab w:val="left" w:pos="708"/>
        </w:tabs>
        <w:spacing w:after="0" w:line="260" w:lineRule="auto"/>
        <w:jc w:val="both"/>
        <w:rPr>
          <w:rFonts w:ascii="Arial" w:eastAsia="Arial" w:hAnsi="Arial" w:cs="Arial"/>
          <w:noProof/>
          <w:sz w:val="20"/>
        </w:rPr>
      </w:pPr>
    </w:p>
    <w:p w:rsidR="00624464" w:rsidRPr="00853FE9" w:rsidRDefault="00624464">
      <w:pPr>
        <w:tabs>
          <w:tab w:val="left" w:pos="708"/>
        </w:tabs>
        <w:spacing w:after="0" w:line="260" w:lineRule="auto"/>
        <w:jc w:val="both"/>
        <w:rPr>
          <w:rFonts w:ascii="Arial" w:eastAsia="Arial" w:hAnsi="Arial" w:cs="Arial"/>
          <w:noProof/>
          <w:sz w:val="20"/>
        </w:rPr>
      </w:pPr>
    </w:p>
    <w:p w:rsidR="00624464" w:rsidRPr="00853FE9" w:rsidRDefault="00624464">
      <w:pPr>
        <w:tabs>
          <w:tab w:val="left" w:pos="708"/>
        </w:tabs>
        <w:spacing w:after="0" w:line="260" w:lineRule="auto"/>
        <w:jc w:val="both"/>
        <w:rPr>
          <w:rFonts w:ascii="Arial" w:eastAsia="Arial" w:hAnsi="Arial" w:cs="Arial"/>
          <w:noProof/>
          <w:sz w:val="20"/>
        </w:rPr>
      </w:pPr>
    </w:p>
    <w:p w:rsidR="00624464" w:rsidRPr="00853FE9" w:rsidRDefault="00624464">
      <w:pPr>
        <w:tabs>
          <w:tab w:val="left" w:pos="708"/>
        </w:tabs>
        <w:spacing w:after="0" w:line="260" w:lineRule="auto"/>
        <w:jc w:val="both"/>
        <w:rPr>
          <w:rFonts w:ascii="Arial" w:eastAsia="Arial" w:hAnsi="Arial" w:cs="Arial"/>
          <w:noProof/>
          <w:sz w:val="20"/>
        </w:rPr>
      </w:pPr>
    </w:p>
    <w:p w:rsidR="00624464" w:rsidRPr="00853FE9" w:rsidRDefault="00624464">
      <w:pPr>
        <w:rPr>
          <w:rFonts w:ascii="Calibri" w:eastAsia="Calibri" w:hAnsi="Calibri" w:cs="Calibri"/>
          <w:noProof/>
        </w:rPr>
      </w:pPr>
    </w:p>
    <w:sectPr w:rsidR="00624464" w:rsidRPr="00853FE9" w:rsidSect="006D074A">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E0" w:rsidRDefault="006160E0" w:rsidP="00853FE9">
      <w:pPr>
        <w:spacing w:after="0" w:line="240" w:lineRule="auto"/>
      </w:pPr>
      <w:r>
        <w:separator/>
      </w:r>
    </w:p>
  </w:endnote>
  <w:endnote w:type="continuationSeparator" w:id="0">
    <w:p w:rsidR="006160E0" w:rsidRDefault="006160E0" w:rsidP="0085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870721"/>
      <w:docPartObj>
        <w:docPartGallery w:val="Page Numbers (Bottom of Page)"/>
        <w:docPartUnique/>
      </w:docPartObj>
    </w:sdtPr>
    <w:sdtEndPr/>
    <w:sdtContent>
      <w:p w:rsidR="006D074A" w:rsidRDefault="002353D0" w:rsidP="006D074A">
        <w:pPr>
          <w:pStyle w:val="Noga"/>
          <w:ind w:firstLine="4536"/>
        </w:pPr>
        <w:r>
          <w:fldChar w:fldCharType="begin"/>
        </w:r>
        <w:r w:rsidR="006D074A">
          <w:instrText>PAGE   \* MERGEFORMAT</w:instrText>
        </w:r>
        <w:r>
          <w:fldChar w:fldCharType="separate"/>
        </w:r>
        <w:r w:rsidR="007872CC">
          <w:rPr>
            <w:noProof/>
          </w:rPr>
          <w:t>4</w:t>
        </w:r>
        <w:r>
          <w:fldChar w:fldCharType="end"/>
        </w:r>
      </w:p>
    </w:sdtContent>
  </w:sdt>
  <w:p w:rsidR="006D074A" w:rsidRDefault="006D074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E0" w:rsidRDefault="006160E0" w:rsidP="00853FE9">
      <w:pPr>
        <w:spacing w:after="0" w:line="240" w:lineRule="auto"/>
      </w:pPr>
      <w:r>
        <w:separator/>
      </w:r>
    </w:p>
  </w:footnote>
  <w:footnote w:type="continuationSeparator" w:id="0">
    <w:p w:rsidR="006160E0" w:rsidRDefault="006160E0" w:rsidP="00853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FE9" w:rsidRPr="00853FE9" w:rsidRDefault="00853FE9">
    <w:pPr>
      <w:pStyle w:val="Glava"/>
      <w:rPr>
        <w:i/>
        <w:u w:val="single"/>
      </w:rPr>
    </w:pPr>
    <w:r>
      <w:tab/>
    </w:r>
    <w:r>
      <w:tab/>
    </w:r>
    <w:r w:rsidRPr="00853FE9">
      <w:rPr>
        <w:i/>
        <w:u w:val="single"/>
      </w:rPr>
      <w:t>O S N U T E K!</w:t>
    </w:r>
  </w:p>
  <w:p w:rsidR="00853FE9" w:rsidRPr="00853FE9" w:rsidRDefault="00853FE9">
    <w:pPr>
      <w:pStyle w:val="Glava"/>
      <w:rPr>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157"/>
    <w:multiLevelType w:val="hybridMultilevel"/>
    <w:tmpl w:val="10B073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33249D4"/>
    <w:multiLevelType w:val="hybridMultilevel"/>
    <w:tmpl w:val="E7C05A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A3418FF"/>
    <w:multiLevelType w:val="hybridMultilevel"/>
    <w:tmpl w:val="492C8A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C6F20B8"/>
    <w:multiLevelType w:val="hybridMultilevel"/>
    <w:tmpl w:val="A57890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1B573CE"/>
    <w:multiLevelType w:val="hybridMultilevel"/>
    <w:tmpl w:val="A0FEA18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5">
    <w:nsid w:val="47456EC9"/>
    <w:multiLevelType w:val="hybridMultilevel"/>
    <w:tmpl w:val="8F9009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E6C12C5"/>
    <w:multiLevelType w:val="hybridMultilevel"/>
    <w:tmpl w:val="143A77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D2021C6"/>
    <w:multiLevelType w:val="hybridMultilevel"/>
    <w:tmpl w:val="58AAE43E"/>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8">
    <w:nsid w:val="74727B11"/>
    <w:multiLevelType w:val="hybridMultilevel"/>
    <w:tmpl w:val="E0166B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E821CCC"/>
    <w:multiLevelType w:val="hybridMultilevel"/>
    <w:tmpl w:val="AE323D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F7322F0"/>
    <w:multiLevelType w:val="hybridMultilevel"/>
    <w:tmpl w:val="95CE86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F813A4F"/>
    <w:multiLevelType w:val="hybridMultilevel"/>
    <w:tmpl w:val="FF748D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8"/>
  </w:num>
  <w:num w:numId="5">
    <w:abstractNumId w:val="7"/>
  </w:num>
  <w:num w:numId="6">
    <w:abstractNumId w:val="4"/>
  </w:num>
  <w:num w:numId="7">
    <w:abstractNumId w:val="1"/>
  </w:num>
  <w:num w:numId="8">
    <w:abstractNumId w:val="9"/>
  </w:num>
  <w:num w:numId="9">
    <w:abstractNumId w:val="5"/>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64"/>
    <w:rsid w:val="00031A7B"/>
    <w:rsid w:val="0017224C"/>
    <w:rsid w:val="001C6B4F"/>
    <w:rsid w:val="002353D0"/>
    <w:rsid w:val="00533052"/>
    <w:rsid w:val="005B3BB5"/>
    <w:rsid w:val="00615B91"/>
    <w:rsid w:val="006160E0"/>
    <w:rsid w:val="00624464"/>
    <w:rsid w:val="00660260"/>
    <w:rsid w:val="006B2704"/>
    <w:rsid w:val="006D074A"/>
    <w:rsid w:val="007872CC"/>
    <w:rsid w:val="007C6083"/>
    <w:rsid w:val="008453CD"/>
    <w:rsid w:val="00853FE9"/>
    <w:rsid w:val="00892CB9"/>
    <w:rsid w:val="008C18FD"/>
    <w:rsid w:val="009B65A4"/>
    <w:rsid w:val="00AE7F53"/>
    <w:rsid w:val="00D01D15"/>
    <w:rsid w:val="00DE42F0"/>
    <w:rsid w:val="00ED3CE1"/>
    <w:rsid w:val="00F612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ED3CE1"/>
    <w:rPr>
      <w:sz w:val="16"/>
      <w:szCs w:val="16"/>
    </w:rPr>
  </w:style>
  <w:style w:type="paragraph" w:styleId="Pripombabesedilo">
    <w:name w:val="annotation text"/>
    <w:basedOn w:val="Navaden"/>
    <w:link w:val="PripombabesediloZnak"/>
    <w:uiPriority w:val="99"/>
    <w:semiHidden/>
    <w:unhideWhenUsed/>
    <w:rsid w:val="00ED3CE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D3CE1"/>
    <w:rPr>
      <w:sz w:val="20"/>
      <w:szCs w:val="20"/>
    </w:rPr>
  </w:style>
  <w:style w:type="paragraph" w:styleId="Zadevapripombe">
    <w:name w:val="annotation subject"/>
    <w:basedOn w:val="Pripombabesedilo"/>
    <w:next w:val="Pripombabesedilo"/>
    <w:link w:val="ZadevapripombeZnak"/>
    <w:uiPriority w:val="99"/>
    <w:semiHidden/>
    <w:unhideWhenUsed/>
    <w:rsid w:val="00ED3CE1"/>
    <w:rPr>
      <w:b/>
      <w:bCs/>
    </w:rPr>
  </w:style>
  <w:style w:type="character" w:customStyle="1" w:styleId="ZadevapripombeZnak">
    <w:name w:val="Zadeva pripombe Znak"/>
    <w:basedOn w:val="PripombabesediloZnak"/>
    <w:link w:val="Zadevapripombe"/>
    <w:uiPriority w:val="99"/>
    <w:semiHidden/>
    <w:rsid w:val="00ED3CE1"/>
    <w:rPr>
      <w:b/>
      <w:bCs/>
      <w:sz w:val="20"/>
      <w:szCs w:val="20"/>
    </w:rPr>
  </w:style>
  <w:style w:type="paragraph" w:styleId="Besedilooblaka">
    <w:name w:val="Balloon Text"/>
    <w:basedOn w:val="Navaden"/>
    <w:link w:val="BesedilooblakaZnak"/>
    <w:uiPriority w:val="99"/>
    <w:semiHidden/>
    <w:unhideWhenUsed/>
    <w:rsid w:val="00ED3CE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3CE1"/>
    <w:rPr>
      <w:rFonts w:ascii="Tahoma" w:hAnsi="Tahoma" w:cs="Tahoma"/>
      <w:sz w:val="16"/>
      <w:szCs w:val="16"/>
    </w:rPr>
  </w:style>
  <w:style w:type="paragraph" w:styleId="Odstavekseznama">
    <w:name w:val="List Paragraph"/>
    <w:basedOn w:val="Navaden"/>
    <w:uiPriority w:val="34"/>
    <w:qFormat/>
    <w:rsid w:val="00853FE9"/>
    <w:pPr>
      <w:ind w:left="720"/>
      <w:contextualSpacing/>
    </w:pPr>
  </w:style>
  <w:style w:type="character" w:styleId="Hiperpovezava">
    <w:name w:val="Hyperlink"/>
    <w:rsid w:val="00853FE9"/>
    <w:rPr>
      <w:color w:val="0000FF"/>
      <w:u w:val="single"/>
    </w:rPr>
  </w:style>
  <w:style w:type="paragraph" w:styleId="Glava">
    <w:name w:val="header"/>
    <w:basedOn w:val="Navaden"/>
    <w:link w:val="GlavaZnak"/>
    <w:uiPriority w:val="99"/>
    <w:unhideWhenUsed/>
    <w:rsid w:val="00853FE9"/>
    <w:pPr>
      <w:tabs>
        <w:tab w:val="center" w:pos="4536"/>
        <w:tab w:val="right" w:pos="9072"/>
      </w:tabs>
      <w:spacing w:after="0" w:line="240" w:lineRule="auto"/>
    </w:pPr>
  </w:style>
  <w:style w:type="character" w:customStyle="1" w:styleId="GlavaZnak">
    <w:name w:val="Glava Znak"/>
    <w:basedOn w:val="Privzetapisavaodstavka"/>
    <w:link w:val="Glava"/>
    <w:uiPriority w:val="99"/>
    <w:rsid w:val="00853FE9"/>
  </w:style>
  <w:style w:type="paragraph" w:styleId="Noga">
    <w:name w:val="footer"/>
    <w:basedOn w:val="Navaden"/>
    <w:link w:val="NogaZnak"/>
    <w:uiPriority w:val="99"/>
    <w:unhideWhenUsed/>
    <w:rsid w:val="00853FE9"/>
    <w:pPr>
      <w:tabs>
        <w:tab w:val="center" w:pos="4536"/>
        <w:tab w:val="right" w:pos="9072"/>
      </w:tabs>
      <w:spacing w:after="0" w:line="240" w:lineRule="auto"/>
    </w:pPr>
  </w:style>
  <w:style w:type="character" w:customStyle="1" w:styleId="NogaZnak">
    <w:name w:val="Noga Znak"/>
    <w:basedOn w:val="Privzetapisavaodstavka"/>
    <w:link w:val="Noga"/>
    <w:uiPriority w:val="99"/>
    <w:rsid w:val="00853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ED3CE1"/>
    <w:rPr>
      <w:sz w:val="16"/>
      <w:szCs w:val="16"/>
    </w:rPr>
  </w:style>
  <w:style w:type="paragraph" w:styleId="Pripombabesedilo">
    <w:name w:val="annotation text"/>
    <w:basedOn w:val="Navaden"/>
    <w:link w:val="PripombabesediloZnak"/>
    <w:uiPriority w:val="99"/>
    <w:semiHidden/>
    <w:unhideWhenUsed/>
    <w:rsid w:val="00ED3CE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D3CE1"/>
    <w:rPr>
      <w:sz w:val="20"/>
      <w:szCs w:val="20"/>
    </w:rPr>
  </w:style>
  <w:style w:type="paragraph" w:styleId="Zadevapripombe">
    <w:name w:val="annotation subject"/>
    <w:basedOn w:val="Pripombabesedilo"/>
    <w:next w:val="Pripombabesedilo"/>
    <w:link w:val="ZadevapripombeZnak"/>
    <w:uiPriority w:val="99"/>
    <w:semiHidden/>
    <w:unhideWhenUsed/>
    <w:rsid w:val="00ED3CE1"/>
    <w:rPr>
      <w:b/>
      <w:bCs/>
    </w:rPr>
  </w:style>
  <w:style w:type="character" w:customStyle="1" w:styleId="ZadevapripombeZnak">
    <w:name w:val="Zadeva pripombe Znak"/>
    <w:basedOn w:val="PripombabesediloZnak"/>
    <w:link w:val="Zadevapripombe"/>
    <w:uiPriority w:val="99"/>
    <w:semiHidden/>
    <w:rsid w:val="00ED3CE1"/>
    <w:rPr>
      <w:b/>
      <w:bCs/>
      <w:sz w:val="20"/>
      <w:szCs w:val="20"/>
    </w:rPr>
  </w:style>
  <w:style w:type="paragraph" w:styleId="Besedilooblaka">
    <w:name w:val="Balloon Text"/>
    <w:basedOn w:val="Navaden"/>
    <w:link w:val="BesedilooblakaZnak"/>
    <w:uiPriority w:val="99"/>
    <w:semiHidden/>
    <w:unhideWhenUsed/>
    <w:rsid w:val="00ED3CE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3CE1"/>
    <w:rPr>
      <w:rFonts w:ascii="Tahoma" w:hAnsi="Tahoma" w:cs="Tahoma"/>
      <w:sz w:val="16"/>
      <w:szCs w:val="16"/>
    </w:rPr>
  </w:style>
  <w:style w:type="paragraph" w:styleId="Odstavekseznama">
    <w:name w:val="List Paragraph"/>
    <w:basedOn w:val="Navaden"/>
    <w:uiPriority w:val="34"/>
    <w:qFormat/>
    <w:rsid w:val="00853FE9"/>
    <w:pPr>
      <w:ind w:left="720"/>
      <w:contextualSpacing/>
    </w:pPr>
  </w:style>
  <w:style w:type="character" w:styleId="Hiperpovezava">
    <w:name w:val="Hyperlink"/>
    <w:rsid w:val="00853FE9"/>
    <w:rPr>
      <w:color w:val="0000FF"/>
      <w:u w:val="single"/>
    </w:rPr>
  </w:style>
  <w:style w:type="paragraph" w:styleId="Glava">
    <w:name w:val="header"/>
    <w:basedOn w:val="Navaden"/>
    <w:link w:val="GlavaZnak"/>
    <w:uiPriority w:val="99"/>
    <w:unhideWhenUsed/>
    <w:rsid w:val="00853FE9"/>
    <w:pPr>
      <w:tabs>
        <w:tab w:val="center" w:pos="4536"/>
        <w:tab w:val="right" w:pos="9072"/>
      </w:tabs>
      <w:spacing w:after="0" w:line="240" w:lineRule="auto"/>
    </w:pPr>
  </w:style>
  <w:style w:type="character" w:customStyle="1" w:styleId="GlavaZnak">
    <w:name w:val="Glava Znak"/>
    <w:basedOn w:val="Privzetapisavaodstavka"/>
    <w:link w:val="Glava"/>
    <w:uiPriority w:val="99"/>
    <w:rsid w:val="00853FE9"/>
  </w:style>
  <w:style w:type="paragraph" w:styleId="Noga">
    <w:name w:val="footer"/>
    <w:basedOn w:val="Navaden"/>
    <w:link w:val="NogaZnak"/>
    <w:uiPriority w:val="99"/>
    <w:unhideWhenUsed/>
    <w:rsid w:val="00853FE9"/>
    <w:pPr>
      <w:tabs>
        <w:tab w:val="center" w:pos="4536"/>
        <w:tab w:val="right" w:pos="9072"/>
      </w:tabs>
      <w:spacing w:after="0" w:line="240" w:lineRule="auto"/>
    </w:pPr>
  </w:style>
  <w:style w:type="character" w:customStyle="1" w:styleId="NogaZnak">
    <w:name w:val="Noga Znak"/>
    <w:basedOn w:val="Privzetapisavaodstavka"/>
    <w:link w:val="Noga"/>
    <w:uiPriority w:val="99"/>
    <w:rsid w:val="00853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p.mop@gov.s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lada.si/fileadmin/dokumenti/si/predpisi/2010/2010_12_113sv-nesrece1-precisceno.DOC" TargetMode="External"/><Relationship Id="rId4" Type="http://schemas.openxmlformats.org/officeDocument/2006/relationships/settings" Target="settings.xml"/><Relationship Id="rId9" Type="http://schemas.openxmlformats.org/officeDocument/2006/relationships/hyperlink" Target="http://www.vlada.si/fileadmin/dokumenti/si/predpisi/2012/2012-01-2653-npb3.doc"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7867</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Miklavcic</dc:creator>
  <cp:lastModifiedBy>barbara</cp:lastModifiedBy>
  <cp:revision>2</cp:revision>
  <dcterms:created xsi:type="dcterms:W3CDTF">2014-09-19T09:04:00Z</dcterms:created>
  <dcterms:modified xsi:type="dcterms:W3CDTF">2014-09-19T09:04:00Z</dcterms:modified>
</cp:coreProperties>
</file>