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A19" w:rsidRPr="008C183F" w:rsidRDefault="00C72A19" w:rsidP="00C72A19">
      <w:pPr>
        <w:pStyle w:val="datumtevilka"/>
        <w:rPr>
          <w:rFonts w:asciiTheme="minorHAnsi" w:hAnsiTheme="minorHAnsi"/>
          <w:lang w:val="sl-SI"/>
        </w:rPr>
      </w:pPr>
      <w:bookmarkStart w:id="0" w:name="_GoBack"/>
      <w:bookmarkEnd w:id="0"/>
    </w:p>
    <w:p w:rsidR="00C72A19" w:rsidRPr="008C183F" w:rsidRDefault="00AA26A1" w:rsidP="00C72A19">
      <w:pPr>
        <w:pStyle w:val="datumtevilka"/>
        <w:rPr>
          <w:rFonts w:asciiTheme="minorHAnsi" w:hAnsiTheme="minorHAnsi"/>
          <w:lang w:val="sl-SI"/>
        </w:rPr>
      </w:pPr>
      <w:r w:rsidRPr="008C183F">
        <w:rPr>
          <w:rFonts w:asciiTheme="minorHAnsi" w:hAnsiTheme="minorHAnsi"/>
          <w:lang w:val="sl-SI"/>
        </w:rPr>
        <w:t xml:space="preserve">Datum: </w:t>
      </w:r>
      <w:r w:rsidR="00B7675C" w:rsidRPr="008C183F">
        <w:rPr>
          <w:rFonts w:asciiTheme="minorHAnsi" w:hAnsiTheme="minorHAnsi"/>
          <w:lang w:val="sl-SI"/>
        </w:rPr>
        <w:t>5.7.2013</w:t>
      </w:r>
    </w:p>
    <w:p w:rsidR="00AA26A1" w:rsidRPr="008C183F" w:rsidRDefault="00AA26A1" w:rsidP="00CC4505">
      <w:pPr>
        <w:spacing w:after="120" w:line="240" w:lineRule="auto"/>
        <w:jc w:val="center"/>
        <w:rPr>
          <w:rFonts w:asciiTheme="minorHAnsi" w:eastAsia="Calibri" w:hAnsiTheme="minorHAnsi"/>
          <w:b/>
          <w:color w:val="000000"/>
          <w:szCs w:val="20"/>
          <w:lang w:val="sl-SI"/>
        </w:rPr>
      </w:pPr>
    </w:p>
    <w:p w:rsidR="00AA26A1" w:rsidRPr="008C183F" w:rsidRDefault="00AA26A1" w:rsidP="00CC4505">
      <w:pPr>
        <w:spacing w:after="120" w:line="240" w:lineRule="auto"/>
        <w:jc w:val="center"/>
        <w:rPr>
          <w:rFonts w:asciiTheme="minorHAnsi" w:eastAsia="Calibri" w:hAnsiTheme="minorHAnsi"/>
          <w:b/>
          <w:color w:val="000000"/>
          <w:szCs w:val="20"/>
          <w:lang w:val="sl-SI"/>
        </w:rPr>
      </w:pPr>
    </w:p>
    <w:p w:rsidR="008C183F" w:rsidRPr="00E869FB" w:rsidRDefault="008C183F" w:rsidP="00CC4505">
      <w:pPr>
        <w:spacing w:after="120" w:line="240" w:lineRule="auto"/>
        <w:jc w:val="center"/>
        <w:rPr>
          <w:rFonts w:asciiTheme="minorHAnsi" w:eastAsia="Calibri" w:hAnsiTheme="minorHAnsi"/>
          <w:b/>
          <w:color w:val="000000"/>
          <w:sz w:val="24"/>
          <w:szCs w:val="20"/>
          <w:u w:val="single"/>
          <w:lang w:val="sl-SI"/>
        </w:rPr>
      </w:pPr>
      <w:r w:rsidRPr="00E869FB">
        <w:rPr>
          <w:rFonts w:asciiTheme="minorHAnsi" w:eastAsia="Calibri" w:hAnsiTheme="minorHAnsi"/>
          <w:b/>
          <w:color w:val="000000"/>
          <w:sz w:val="24"/>
          <w:szCs w:val="20"/>
          <w:u w:val="single"/>
          <w:lang w:val="sl-SI"/>
        </w:rPr>
        <w:t>SPREMLJEVALNO GRADIVO</w:t>
      </w:r>
    </w:p>
    <w:p w:rsidR="00CC4505" w:rsidRPr="00E869FB" w:rsidRDefault="00CC4505" w:rsidP="00CC4505">
      <w:pPr>
        <w:spacing w:after="120" w:line="240" w:lineRule="auto"/>
        <w:jc w:val="center"/>
        <w:rPr>
          <w:rFonts w:asciiTheme="minorHAnsi" w:eastAsia="Calibri" w:hAnsiTheme="minorHAnsi"/>
          <w:b/>
          <w:color w:val="000000"/>
          <w:sz w:val="22"/>
          <w:szCs w:val="20"/>
          <w:lang w:val="sl-SI"/>
        </w:rPr>
      </w:pPr>
      <w:r w:rsidRPr="00E869FB">
        <w:rPr>
          <w:rFonts w:asciiTheme="minorHAnsi" w:eastAsia="Calibri" w:hAnsiTheme="minorHAnsi"/>
          <w:b/>
          <w:color w:val="000000"/>
          <w:sz w:val="22"/>
          <w:szCs w:val="20"/>
          <w:lang w:val="sl-SI"/>
        </w:rPr>
        <w:t>KLJUČN</w:t>
      </w:r>
      <w:r w:rsidR="00B7675C" w:rsidRPr="00E869FB">
        <w:rPr>
          <w:rFonts w:asciiTheme="minorHAnsi" w:eastAsia="Calibri" w:hAnsiTheme="minorHAnsi"/>
          <w:b/>
          <w:color w:val="000000"/>
          <w:sz w:val="22"/>
          <w:szCs w:val="20"/>
          <w:lang w:val="sl-SI"/>
        </w:rPr>
        <w:t>E INFORMACIJE O BODOČEM PROGRAMU RAZVOJA PODEŽELJA RS ZA OBDOBJE  2014–2020</w:t>
      </w:r>
    </w:p>
    <w:p w:rsidR="00CC4505" w:rsidRPr="008C183F" w:rsidRDefault="00B7675C" w:rsidP="00CC4505">
      <w:pPr>
        <w:spacing w:after="120" w:line="240" w:lineRule="auto"/>
        <w:jc w:val="both"/>
        <w:rPr>
          <w:rFonts w:asciiTheme="minorHAnsi" w:eastAsia="Calibri" w:hAnsiTheme="minorHAnsi"/>
          <w:b/>
          <w:szCs w:val="20"/>
          <w:lang w:val="sl-SI"/>
        </w:rPr>
      </w:pPr>
      <w:r w:rsidRPr="008C183F">
        <w:rPr>
          <w:rFonts w:asciiTheme="minorHAnsi" w:eastAsia="Calibri" w:hAnsiTheme="minorHAnsi"/>
          <w:b/>
          <w:i/>
          <w:color w:val="000000"/>
          <w:szCs w:val="20"/>
          <w:lang w:val="sl-SI"/>
        </w:rPr>
        <w:t xml:space="preserve"> </w:t>
      </w:r>
    </w:p>
    <w:p w:rsidR="005D2D68" w:rsidRPr="008C183F" w:rsidRDefault="005D2D68" w:rsidP="008A2184">
      <w:pPr>
        <w:pStyle w:val="Odstavekseznama"/>
        <w:numPr>
          <w:ilvl w:val="0"/>
          <w:numId w:val="41"/>
        </w:numPr>
        <w:pBdr>
          <w:top w:val="single" w:sz="4" w:space="1" w:color="000000" w:themeColor="text1"/>
          <w:bottom w:val="single" w:sz="4" w:space="1" w:color="000000" w:themeColor="text1"/>
        </w:pBdr>
        <w:shd w:val="clear" w:color="auto" w:fill="365F91" w:themeFill="accent1" w:themeFillShade="BF"/>
        <w:spacing w:after="0" w:line="240" w:lineRule="auto"/>
        <w:jc w:val="both"/>
        <w:rPr>
          <w:rFonts w:asciiTheme="minorHAnsi" w:hAnsiTheme="minorHAnsi"/>
          <w:b/>
          <w:color w:val="FFFFFF" w:themeColor="background1"/>
          <w:sz w:val="20"/>
          <w:szCs w:val="20"/>
        </w:rPr>
      </w:pPr>
      <w:r w:rsidRPr="008C183F">
        <w:rPr>
          <w:rFonts w:asciiTheme="minorHAnsi" w:hAnsiTheme="minorHAnsi"/>
          <w:b/>
          <w:color w:val="FFFFFF" w:themeColor="background1"/>
          <w:sz w:val="20"/>
          <w:szCs w:val="20"/>
        </w:rPr>
        <w:t xml:space="preserve">Strateške usmeritve PRP 2014–2020 </w:t>
      </w:r>
    </w:p>
    <w:p w:rsidR="005D2D68" w:rsidRPr="008C183F" w:rsidRDefault="005D2D68" w:rsidP="005D2D68">
      <w:pPr>
        <w:pStyle w:val="Odstavekseznama"/>
        <w:spacing w:after="0" w:line="240" w:lineRule="auto"/>
        <w:ind w:left="0"/>
        <w:jc w:val="both"/>
        <w:rPr>
          <w:rFonts w:asciiTheme="minorHAnsi" w:hAnsiTheme="minorHAnsi"/>
          <w:b/>
          <w:color w:val="0070C0"/>
          <w:sz w:val="20"/>
          <w:szCs w:val="20"/>
        </w:rPr>
      </w:pPr>
    </w:p>
    <w:p w:rsidR="005D2D68" w:rsidRPr="008C183F" w:rsidRDefault="005D2D68" w:rsidP="005D2D68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</w:rPr>
        <w:t>Večja ciljna osredotočenost in naravnanost v rezultate</w:t>
      </w:r>
    </w:p>
    <w:p w:rsidR="008A2184" w:rsidRPr="008C183F" w:rsidRDefault="008A2184" w:rsidP="005D2D68">
      <w:pPr>
        <w:pStyle w:val="Odstavekseznama"/>
        <w:spacing w:after="0" w:line="240" w:lineRule="auto"/>
        <w:ind w:left="0"/>
        <w:jc w:val="both"/>
        <w:rPr>
          <w:rFonts w:asciiTheme="minorHAnsi" w:eastAsia="Times New Roman" w:hAnsiTheme="minorHAnsi"/>
          <w:color w:val="000000" w:themeColor="text1"/>
          <w:sz w:val="20"/>
          <w:szCs w:val="20"/>
        </w:rPr>
      </w:pPr>
    </w:p>
    <w:p w:rsidR="005D2D68" w:rsidRPr="008C183F" w:rsidRDefault="005D2D68" w:rsidP="005D2D68">
      <w:pPr>
        <w:pStyle w:val="Odstavekseznama"/>
        <w:spacing w:after="0" w:line="240" w:lineRule="auto"/>
        <w:ind w:left="0"/>
        <w:jc w:val="both"/>
        <w:rPr>
          <w:rFonts w:asciiTheme="minorHAnsi" w:eastAsia="Times New Roman" w:hAnsiTheme="minorHAnsi"/>
          <w:color w:val="000000" w:themeColor="text1"/>
          <w:sz w:val="20"/>
          <w:szCs w:val="20"/>
        </w:rPr>
      </w:pPr>
      <w:r w:rsidRPr="008C183F">
        <w:rPr>
          <w:rFonts w:asciiTheme="minorHAnsi" w:eastAsia="Times New Roman" w:hAnsiTheme="minorHAnsi"/>
          <w:color w:val="000000" w:themeColor="text1"/>
          <w:sz w:val="20"/>
          <w:szCs w:val="20"/>
        </w:rPr>
        <w:t>Na podlagi izkušenj iz programskega obdobja 2007–2013, priporočil Računskega sodišča RS in drugih institucij bo MKO pri oblikovanju končne vseb</w:t>
      </w:r>
      <w:r w:rsidR="00E869FB">
        <w:rPr>
          <w:rFonts w:asciiTheme="minorHAnsi" w:eastAsia="Times New Roman" w:hAnsiTheme="minorHAnsi"/>
          <w:color w:val="000000" w:themeColor="text1"/>
          <w:sz w:val="20"/>
          <w:szCs w:val="20"/>
        </w:rPr>
        <w:t>ine ukrepov in v izvedbi sledilo</w:t>
      </w:r>
      <w:r w:rsidRPr="008C183F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</w:t>
      </w:r>
      <w:r w:rsidR="008B2F9C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dvema ključnima </w:t>
      </w:r>
      <w:r w:rsidRPr="008C183F">
        <w:rPr>
          <w:rFonts w:asciiTheme="minorHAnsi" w:eastAsia="Times New Roman" w:hAnsiTheme="minorHAnsi"/>
          <w:color w:val="000000" w:themeColor="text1"/>
          <w:sz w:val="20"/>
          <w:szCs w:val="20"/>
        </w:rPr>
        <w:t>načeloma</w:t>
      </w:r>
      <w:r w:rsidR="008B2F9C">
        <w:rPr>
          <w:rFonts w:asciiTheme="minorHAnsi" w:eastAsia="Times New Roman" w:hAnsiTheme="minorHAnsi"/>
          <w:color w:val="000000" w:themeColor="text1"/>
          <w:sz w:val="20"/>
          <w:szCs w:val="20"/>
        </w:rPr>
        <w:t>, in sicer načelu</w:t>
      </w:r>
      <w:r w:rsidRPr="008C183F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 večje ciljne osredotočenosti in naravnanosti v rezultate. </w:t>
      </w:r>
    </w:p>
    <w:p w:rsidR="005D2D68" w:rsidRPr="008C183F" w:rsidRDefault="005D2D68" w:rsidP="005D2D68">
      <w:pPr>
        <w:pStyle w:val="Odstavekseznama"/>
        <w:spacing w:after="0" w:line="240" w:lineRule="auto"/>
        <w:ind w:left="0"/>
        <w:jc w:val="both"/>
        <w:rPr>
          <w:rFonts w:asciiTheme="minorHAnsi" w:eastAsia="Times New Roman" w:hAnsiTheme="minorHAnsi"/>
          <w:color w:val="000000" w:themeColor="text1"/>
          <w:sz w:val="20"/>
          <w:szCs w:val="20"/>
        </w:rPr>
      </w:pPr>
    </w:p>
    <w:p w:rsidR="005D2D68" w:rsidRPr="008C183F" w:rsidRDefault="005D2D68" w:rsidP="005D2D68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</w:rPr>
        <w:t xml:space="preserve">Inovacije, skrb za okolje in podnebne spremembe – nepogrešljiv element ali »rdeča nit« vseh ukrepov PRP 2014–2020 </w:t>
      </w:r>
    </w:p>
    <w:p w:rsidR="008A2184" w:rsidRPr="008C183F" w:rsidRDefault="008A2184" w:rsidP="005D2D68">
      <w:pPr>
        <w:pStyle w:val="Odstavekseznama"/>
        <w:spacing w:after="0" w:line="240" w:lineRule="auto"/>
        <w:ind w:left="0"/>
        <w:jc w:val="both"/>
        <w:rPr>
          <w:rFonts w:asciiTheme="minorHAnsi" w:eastAsia="Times New Roman" w:hAnsiTheme="minorHAnsi"/>
          <w:color w:val="000000" w:themeColor="text1"/>
          <w:sz w:val="20"/>
          <w:szCs w:val="20"/>
        </w:rPr>
      </w:pPr>
    </w:p>
    <w:p w:rsidR="005D2D68" w:rsidRPr="008C183F" w:rsidRDefault="005D2D68" w:rsidP="005D2D68">
      <w:pPr>
        <w:pStyle w:val="Odstavekseznama"/>
        <w:spacing w:after="0" w:line="240" w:lineRule="auto"/>
        <w:ind w:left="0"/>
        <w:jc w:val="both"/>
        <w:rPr>
          <w:rFonts w:asciiTheme="minorHAnsi" w:eastAsia="Times New Roman" w:hAnsiTheme="minorHAnsi"/>
          <w:color w:val="000000" w:themeColor="text1"/>
          <w:sz w:val="20"/>
          <w:szCs w:val="20"/>
        </w:rPr>
      </w:pPr>
      <w:r w:rsidRPr="008C183F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Ločevanja tovrstnih vsebin, kot smo ga poznali v programskem obdobju 2007–2013 in v sistemu </w:t>
      </w:r>
      <w:r w:rsidR="00E869FB">
        <w:rPr>
          <w:rFonts w:asciiTheme="minorHAnsi" w:eastAsia="Times New Roman" w:hAnsiTheme="minorHAnsi"/>
          <w:color w:val="000000" w:themeColor="text1"/>
          <w:sz w:val="20"/>
          <w:szCs w:val="20"/>
        </w:rPr>
        <w:t xml:space="preserve">razdelitve ukrepov na posamezne </w:t>
      </w:r>
      <w:r w:rsidRPr="008C183F">
        <w:rPr>
          <w:rFonts w:asciiTheme="minorHAnsi" w:eastAsia="Times New Roman" w:hAnsiTheme="minorHAnsi"/>
          <w:color w:val="000000" w:themeColor="text1"/>
          <w:sz w:val="20"/>
          <w:szCs w:val="20"/>
        </w:rPr>
        <w:t>»osi«, v obdobju 2014–2020 ne bo več. Tovrstne horizontalne vsebine se morajo odraziti v vseh segmentih PRP 2014–2020.</w:t>
      </w:r>
    </w:p>
    <w:p w:rsidR="005D2D68" w:rsidRPr="008C183F" w:rsidRDefault="005D2D68" w:rsidP="005D2D68">
      <w:pPr>
        <w:pStyle w:val="Odstavekseznama"/>
        <w:spacing w:after="0" w:line="240" w:lineRule="auto"/>
        <w:ind w:left="0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5D2D68" w:rsidRPr="008C183F" w:rsidRDefault="005D2D68" w:rsidP="005D2D68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</w:rPr>
        <w:t>Vpetost PRP 2014–2020 v širše strateške okvire</w:t>
      </w:r>
    </w:p>
    <w:p w:rsidR="005D2D68" w:rsidRPr="008C183F" w:rsidRDefault="005D2D68" w:rsidP="005D2D68">
      <w:pPr>
        <w:pStyle w:val="Odstavekseznama"/>
        <w:spacing w:after="0" w:line="240" w:lineRule="auto"/>
        <w:ind w:left="0"/>
        <w:jc w:val="both"/>
        <w:rPr>
          <w:rFonts w:asciiTheme="minorHAnsi" w:hAnsiTheme="minorHAnsi"/>
          <w:color w:val="000000" w:themeColor="text1"/>
          <w:sz w:val="20"/>
          <w:szCs w:val="20"/>
        </w:rPr>
      </w:pPr>
    </w:p>
    <w:p w:rsidR="005D2D68" w:rsidRPr="008C183F" w:rsidRDefault="005D2D68" w:rsidP="005D2D68">
      <w:pPr>
        <w:pStyle w:val="AStelo"/>
        <w:spacing w:after="0"/>
        <w:rPr>
          <w:rFonts w:eastAsiaTheme="minorHAnsi" w:cstheme="minorBidi"/>
          <w:color w:val="000000" w:themeColor="text1"/>
        </w:rPr>
      </w:pPr>
      <w:r w:rsidRPr="008C183F">
        <w:rPr>
          <w:color w:val="000000" w:themeColor="text1"/>
        </w:rPr>
        <w:t xml:space="preserve">PRP 2014–2020 z ukrepi sledi prednostnim programskim usmeritvam iz </w:t>
      </w:r>
      <w:r w:rsidRPr="008C183F">
        <w:rPr>
          <w:rFonts w:eastAsiaTheme="minorHAnsi" w:cstheme="minorBidi"/>
          <w:color w:val="000000" w:themeColor="text1"/>
        </w:rPr>
        <w:t>Resolucije o strateških usmeritvah razvoja slovenskega kmetijstva in živilstva do leta 2020 – »Zagotovimo.si hrano za jutri« (Ur.l. RS, št. 25/2011), operativnim programom za izvajanje omenjene resolucije ter tudi vsem ključnim strateškim dokumentom, ki opredeljujejo razvoj RS proti letu 2020.</w:t>
      </w:r>
    </w:p>
    <w:p w:rsidR="008A2184" w:rsidRPr="008C183F" w:rsidRDefault="008A2184" w:rsidP="005D2D68">
      <w:pPr>
        <w:pStyle w:val="AStelo"/>
        <w:spacing w:after="0"/>
        <w:rPr>
          <w:rFonts w:eastAsiaTheme="minorHAnsi" w:cstheme="minorBidi"/>
          <w:color w:val="000000" w:themeColor="text1"/>
        </w:rPr>
      </w:pPr>
    </w:p>
    <w:p w:rsidR="005D2D68" w:rsidRPr="008C183F" w:rsidRDefault="005D2D68" w:rsidP="008A2184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</w:rPr>
        <w:t>Členitev podeželja za bolj ciljno usmerjeno politiko razvoja podeželja in porabo sredstev</w:t>
      </w:r>
    </w:p>
    <w:p w:rsidR="008A2184" w:rsidRPr="008C183F" w:rsidRDefault="008A2184" w:rsidP="005D2D68">
      <w:pPr>
        <w:spacing w:after="120" w:line="240" w:lineRule="auto"/>
        <w:jc w:val="both"/>
        <w:rPr>
          <w:rFonts w:asciiTheme="minorHAnsi" w:hAnsiTheme="minorHAnsi"/>
          <w:color w:val="000000" w:themeColor="text1"/>
          <w:szCs w:val="20"/>
          <w:lang w:val="sl-SI"/>
        </w:rPr>
      </w:pPr>
    </w:p>
    <w:p w:rsidR="005D2D68" w:rsidRPr="008C183F" w:rsidRDefault="005D2D68" w:rsidP="005D2D68">
      <w:pPr>
        <w:spacing w:after="120" w:line="240" w:lineRule="auto"/>
        <w:jc w:val="both"/>
        <w:rPr>
          <w:rFonts w:asciiTheme="minorHAnsi" w:hAnsiTheme="minorHAnsi"/>
          <w:color w:val="000000" w:themeColor="text1"/>
          <w:szCs w:val="20"/>
          <w:lang w:val="sl-SI"/>
        </w:rPr>
      </w:pPr>
      <w:r w:rsidRPr="008C183F">
        <w:rPr>
          <w:rFonts w:asciiTheme="minorHAnsi" w:hAnsiTheme="minorHAnsi"/>
          <w:color w:val="000000" w:themeColor="text1"/>
          <w:szCs w:val="20"/>
          <w:lang w:val="sl-SI"/>
        </w:rPr>
        <w:t xml:space="preserve">V PRP 2014–2020 uvajamo novo tipologijo podeželskih območij. Čeprav še vedno uporabljamo mednarodno primerljiv koncept OECD, pa v okvir meril za izbor uvajamo drugačen pristop do regionalizacije / prostorske razpršitve podpor PRP 2014–2020, ki temelji na razvojni sposobnosti podeželskih območij </w:t>
      </w:r>
      <w:r w:rsidR="00E869FB">
        <w:rPr>
          <w:rFonts w:asciiTheme="minorHAnsi" w:hAnsiTheme="minorHAnsi"/>
          <w:color w:val="000000" w:themeColor="text1"/>
          <w:szCs w:val="20"/>
          <w:lang w:val="sl-SI"/>
        </w:rPr>
        <w:t>oz.</w:t>
      </w:r>
      <w:r w:rsidRPr="008C183F">
        <w:rPr>
          <w:rFonts w:asciiTheme="minorHAnsi" w:hAnsiTheme="minorHAnsi"/>
          <w:color w:val="000000" w:themeColor="text1"/>
          <w:szCs w:val="20"/>
          <w:lang w:val="sl-SI"/>
        </w:rPr>
        <w:t xml:space="preserve"> njihov</w:t>
      </w:r>
      <w:r w:rsidR="00E869FB">
        <w:rPr>
          <w:rFonts w:asciiTheme="minorHAnsi" w:hAnsiTheme="minorHAnsi"/>
          <w:color w:val="000000" w:themeColor="text1"/>
          <w:szCs w:val="20"/>
          <w:lang w:val="sl-SI"/>
        </w:rPr>
        <w:t>i</w:t>
      </w:r>
      <w:r w:rsidRPr="008C183F">
        <w:rPr>
          <w:rFonts w:asciiTheme="minorHAnsi" w:hAnsiTheme="minorHAnsi"/>
          <w:color w:val="000000" w:themeColor="text1"/>
          <w:szCs w:val="20"/>
          <w:lang w:val="sl-SI"/>
        </w:rPr>
        <w:t xml:space="preserve"> sposobnosti aktiviranja endogenih potencialov.</w:t>
      </w:r>
    </w:p>
    <w:p w:rsidR="005D2D68" w:rsidRPr="008C183F" w:rsidRDefault="005D2D68" w:rsidP="005D2D68">
      <w:pPr>
        <w:pStyle w:val="AStelo"/>
        <w:spacing w:after="0"/>
        <w:rPr>
          <w:rFonts w:eastAsiaTheme="minorHAnsi" w:cstheme="minorBidi"/>
          <w:color w:val="000000" w:themeColor="text1"/>
        </w:rPr>
      </w:pPr>
    </w:p>
    <w:p w:rsidR="005D2D68" w:rsidRPr="008C183F" w:rsidRDefault="008A2184" w:rsidP="008A2184">
      <w:pPr>
        <w:pStyle w:val="Odstavekseznama"/>
        <w:numPr>
          <w:ilvl w:val="0"/>
          <w:numId w:val="41"/>
        </w:numPr>
        <w:pBdr>
          <w:top w:val="single" w:sz="4" w:space="1" w:color="000000" w:themeColor="text1"/>
          <w:bottom w:val="single" w:sz="4" w:space="1" w:color="000000" w:themeColor="text1"/>
        </w:pBdr>
        <w:shd w:val="clear" w:color="auto" w:fill="365F91" w:themeFill="accent1" w:themeFillShade="BF"/>
        <w:spacing w:after="0" w:line="240" w:lineRule="auto"/>
        <w:jc w:val="both"/>
        <w:rPr>
          <w:rFonts w:asciiTheme="minorHAnsi" w:hAnsiTheme="minorHAnsi"/>
          <w:b/>
          <w:color w:val="FFFFFF" w:themeColor="background1"/>
          <w:sz w:val="20"/>
          <w:szCs w:val="20"/>
        </w:rPr>
      </w:pPr>
      <w:r w:rsidRPr="008C183F">
        <w:rPr>
          <w:rFonts w:asciiTheme="minorHAnsi" w:hAnsiTheme="minorHAnsi"/>
          <w:b/>
          <w:color w:val="FFFFFF" w:themeColor="background1"/>
          <w:sz w:val="20"/>
          <w:szCs w:val="20"/>
        </w:rPr>
        <w:t xml:space="preserve">Izvedbeni vidiki PRP 2014–2020 </w:t>
      </w:r>
    </w:p>
    <w:p w:rsidR="005D2D68" w:rsidRPr="008C183F" w:rsidRDefault="005D2D68" w:rsidP="005D2D68">
      <w:pPr>
        <w:pStyle w:val="Odstavekseznama"/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B1432A" w:rsidRPr="008C183F" w:rsidRDefault="005D2D68" w:rsidP="00B1432A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</w:rPr>
        <w:t>Sistem najvišjih priznanih vrednosti upravičenih stroškov</w:t>
      </w:r>
    </w:p>
    <w:p w:rsidR="00B1432A" w:rsidRPr="008C183F" w:rsidRDefault="00B1432A" w:rsidP="00B1432A">
      <w:pPr>
        <w:pStyle w:val="Odstavekseznama"/>
        <w:spacing w:after="0" w:line="240" w:lineRule="auto"/>
        <w:jc w:val="both"/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</w:p>
    <w:p w:rsidR="005D2D68" w:rsidRPr="008C183F" w:rsidRDefault="005D2D68" w:rsidP="005D2D68">
      <w:pPr>
        <w:spacing w:after="100" w:afterAutospacing="1" w:line="240" w:lineRule="auto"/>
        <w:jc w:val="both"/>
        <w:rPr>
          <w:rFonts w:asciiTheme="minorHAnsi" w:hAnsiTheme="minorHAnsi"/>
          <w:color w:val="000000" w:themeColor="text1"/>
          <w:szCs w:val="20"/>
          <w:lang w:val="sl-SI"/>
        </w:rPr>
      </w:pPr>
      <w:r w:rsidRPr="008C183F">
        <w:rPr>
          <w:rFonts w:asciiTheme="minorHAnsi" w:hAnsiTheme="minorHAnsi"/>
          <w:color w:val="000000" w:themeColor="text1"/>
          <w:szCs w:val="20"/>
          <w:lang w:val="sl-SI"/>
        </w:rPr>
        <w:t xml:space="preserve">Z namenom racionalnejše porabe sredstev PRP 2014–2020 uvajamo sistem najvišjih priznanih vrednosti upravičenih stroškov, ki bodo opredeljene v Katalogu stroškov za izvajanje ukrepov Programa razvoja podeželja Republike Slovenije za obdobje 2014–2020. </w:t>
      </w:r>
      <w:r w:rsidR="008A2184" w:rsidRPr="008C183F">
        <w:rPr>
          <w:rFonts w:asciiTheme="minorHAnsi" w:hAnsiTheme="minorHAnsi"/>
          <w:color w:val="000000" w:themeColor="text1"/>
          <w:szCs w:val="20"/>
          <w:lang w:val="sl-SI"/>
        </w:rPr>
        <w:t xml:space="preserve"> </w:t>
      </w:r>
    </w:p>
    <w:p w:rsidR="005D2D68" w:rsidRPr="008C183F" w:rsidRDefault="005D2D68" w:rsidP="008A2184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</w:rPr>
        <w:lastRenderedPageBreak/>
        <w:t>Večji poudarek realizaciji aktivnosti iz poslovnega načrta</w:t>
      </w:r>
    </w:p>
    <w:p w:rsidR="005D2D68" w:rsidRPr="008C183F" w:rsidRDefault="005D2D68" w:rsidP="005D2D68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000000" w:themeColor="text1"/>
          <w:szCs w:val="20"/>
          <w:lang w:val="sl-SI"/>
        </w:rPr>
      </w:pPr>
      <w:r w:rsidRPr="008C183F">
        <w:rPr>
          <w:rFonts w:asciiTheme="minorHAnsi" w:hAnsiTheme="minorHAnsi"/>
          <w:color w:val="000000" w:themeColor="text1"/>
          <w:szCs w:val="20"/>
          <w:lang w:val="sl-SI"/>
        </w:rPr>
        <w:t>V okviru več ukrepov, zlasti pa 18. in 20. člena, skladno z Uredbo RP/2013/EU uvajamo večji poudarek poslovnemu načrtu. Uresničevanje poslovnega načrta je podlaga za izplačilo zadnjega obroka sredstev.</w:t>
      </w:r>
    </w:p>
    <w:p w:rsidR="008A2184" w:rsidRPr="008C183F" w:rsidRDefault="008A2184" w:rsidP="008A2184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</w:rPr>
        <w:t>Poenostavitev javnih razpisov in vnaprejšnje načrtovanje</w:t>
      </w:r>
    </w:p>
    <w:p w:rsidR="008A2184" w:rsidRPr="008C183F" w:rsidRDefault="008A2184" w:rsidP="005D2D68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000000" w:themeColor="text1"/>
          <w:szCs w:val="20"/>
          <w:lang w:val="sl-SI"/>
        </w:rPr>
      </w:pPr>
      <w:r w:rsidRPr="008C183F">
        <w:rPr>
          <w:rFonts w:asciiTheme="minorHAnsi" w:hAnsiTheme="minorHAnsi"/>
          <w:color w:val="000000" w:themeColor="text1"/>
          <w:szCs w:val="20"/>
          <w:lang w:val="sl-SI"/>
        </w:rPr>
        <w:t>Bistveno več pozornosti bo namenjene poenostavitvam javnih razpisov ter njihovemu vnaprejšnjemu načrtovanju. Nadaljevala se bo nadgradnja e-sistema za vlaganje vlog in zahtevkov.</w:t>
      </w:r>
    </w:p>
    <w:p w:rsidR="008A2184" w:rsidRPr="008C183F" w:rsidRDefault="008A2184" w:rsidP="008A2184">
      <w:pPr>
        <w:pStyle w:val="Odstavekseznama"/>
        <w:numPr>
          <w:ilvl w:val="0"/>
          <w:numId w:val="41"/>
        </w:numPr>
        <w:pBdr>
          <w:top w:val="single" w:sz="4" w:space="1" w:color="000000" w:themeColor="text1"/>
          <w:bottom w:val="single" w:sz="4" w:space="1" w:color="000000" w:themeColor="text1"/>
        </w:pBdr>
        <w:shd w:val="clear" w:color="auto" w:fill="365F91" w:themeFill="accent1" w:themeFillShade="BF"/>
        <w:spacing w:after="0" w:line="240" w:lineRule="auto"/>
        <w:jc w:val="both"/>
        <w:rPr>
          <w:rFonts w:asciiTheme="minorHAnsi" w:hAnsiTheme="minorHAnsi"/>
          <w:b/>
          <w:color w:val="FFFFFF" w:themeColor="background1"/>
          <w:sz w:val="20"/>
          <w:szCs w:val="20"/>
        </w:rPr>
      </w:pPr>
      <w:r w:rsidRPr="008C183F">
        <w:rPr>
          <w:rFonts w:asciiTheme="minorHAnsi" w:hAnsiTheme="minorHAnsi"/>
          <w:b/>
          <w:color w:val="FFFFFF" w:themeColor="background1"/>
          <w:sz w:val="20"/>
          <w:szCs w:val="20"/>
        </w:rPr>
        <w:t xml:space="preserve">Podrobnejše informacije o posameznih ukrepih PRP 2014–2020 </w:t>
      </w:r>
    </w:p>
    <w:p w:rsidR="005D2D68" w:rsidRPr="008C183F" w:rsidRDefault="005D2D68" w:rsidP="00CC4505">
      <w:pPr>
        <w:spacing w:after="120" w:line="240" w:lineRule="auto"/>
        <w:jc w:val="both"/>
        <w:rPr>
          <w:rFonts w:asciiTheme="minorHAnsi" w:eastAsia="Calibri" w:hAnsiTheme="minorHAnsi"/>
          <w:b/>
          <w:szCs w:val="20"/>
          <w:lang w:val="sl-SI"/>
        </w:rPr>
      </w:pPr>
    </w:p>
    <w:p w:rsidR="00610900" w:rsidRPr="008C183F" w:rsidRDefault="00610900" w:rsidP="00610900">
      <w:pPr>
        <w:spacing w:after="120" w:line="240" w:lineRule="auto"/>
        <w:jc w:val="both"/>
        <w:rPr>
          <w:rFonts w:asciiTheme="minorHAnsi" w:eastAsia="Calibri" w:hAnsiTheme="minorHAnsi"/>
          <w:b/>
          <w:i/>
          <w:iCs/>
          <w:color w:val="365F91" w:themeColor="accent1" w:themeShade="BF"/>
          <w:szCs w:val="20"/>
          <w:u w:val="single"/>
          <w:lang w:val="sl-SI"/>
        </w:rPr>
      </w:pPr>
      <w:r w:rsidRPr="008C183F">
        <w:rPr>
          <w:rFonts w:asciiTheme="minorHAnsi" w:eastAsia="Calibri" w:hAnsiTheme="minorHAnsi"/>
          <w:b/>
          <w:color w:val="365F91" w:themeColor="accent1" w:themeShade="BF"/>
          <w:szCs w:val="20"/>
          <w:u w:val="single"/>
          <w:lang w:val="sl-SI"/>
        </w:rPr>
        <w:t xml:space="preserve">15. člen: </w:t>
      </w:r>
      <w:r w:rsidRPr="008C183F">
        <w:rPr>
          <w:rFonts w:asciiTheme="minorHAnsi" w:eastAsia="Calibri" w:hAnsiTheme="minorHAnsi"/>
          <w:b/>
          <w:i/>
          <w:iCs/>
          <w:color w:val="365F91" w:themeColor="accent1" w:themeShade="BF"/>
          <w:szCs w:val="20"/>
          <w:u w:val="single"/>
          <w:lang w:val="sl-SI"/>
        </w:rPr>
        <w:t>Prenos znanja in dejavnosti informiranja</w:t>
      </w:r>
    </w:p>
    <w:p w:rsidR="008A2184" w:rsidRDefault="008A2184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V okviru </w:t>
      </w:r>
      <w:r w:rsidRPr="000256EE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ukrepa prenosa znanja in dejavnosti informiranja (15. člen)</w:t>
      </w:r>
      <w:r w:rsidRPr="008C183F">
        <w:rPr>
          <w:rFonts w:asciiTheme="minorHAnsi" w:hAnsiTheme="minorHAnsi"/>
          <w:sz w:val="20"/>
          <w:szCs w:val="20"/>
        </w:rPr>
        <w:t xml:space="preserve"> je ključna novost možnost izvedbe demonstracijskih projektov. </w:t>
      </w:r>
    </w:p>
    <w:p w:rsidR="000256EE" w:rsidRDefault="000256EE" w:rsidP="000256EE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0256EE">
        <w:rPr>
          <w:rFonts w:asciiTheme="minorHAnsi" w:hAnsiTheme="minorHAnsi"/>
          <w:sz w:val="20"/>
          <w:szCs w:val="20"/>
        </w:rPr>
        <w:t xml:space="preserve">Prenos znanja se bo naslanjal na potrebe, ki bodo identificirane po pristopu </w:t>
      </w:r>
      <w:r w:rsidRPr="000256EE">
        <w:rPr>
          <w:rFonts w:asciiTheme="minorHAnsi" w:hAnsiTheme="minorHAnsi"/>
          <w:b/>
          <w:i/>
          <w:color w:val="1F497D" w:themeColor="text2"/>
          <w:sz w:val="20"/>
          <w:szCs w:val="20"/>
        </w:rPr>
        <w:t>»od spodaj navzgor«</w:t>
      </w:r>
      <w:r w:rsidRPr="000256EE">
        <w:rPr>
          <w:rFonts w:asciiTheme="minorHAnsi" w:hAnsiTheme="minorHAnsi"/>
          <w:sz w:val="20"/>
          <w:szCs w:val="20"/>
        </w:rPr>
        <w:t xml:space="preserve">, torej jih bo identificirala končna ciljna skupina (končni uporabniki znanja) v sodelovanju s stroko. </w:t>
      </w:r>
    </w:p>
    <w:p w:rsidR="00F0218C" w:rsidRDefault="00F0218C" w:rsidP="000256EE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Ukrep bo zagotavljal usposabljanja tako </w:t>
      </w:r>
      <w:r w:rsidRPr="00F0218C">
        <w:rPr>
          <w:rFonts w:asciiTheme="minorHAnsi" w:hAnsiTheme="minorHAnsi"/>
          <w:b/>
          <w:i/>
          <w:color w:val="1F497D" w:themeColor="text2"/>
          <w:sz w:val="20"/>
          <w:szCs w:val="20"/>
        </w:rPr>
        <w:t>za tiste upravičence, ki so vključeni v ukrepe PRP 2014–2020</w:t>
      </w:r>
      <w:r>
        <w:rPr>
          <w:rFonts w:asciiTheme="minorHAnsi" w:hAnsiTheme="minorHAnsi"/>
          <w:sz w:val="20"/>
          <w:szCs w:val="20"/>
        </w:rPr>
        <w:t xml:space="preserve"> in pri katerih je udeležba na usposabljanju ena izmed obveznosti, ki jo morajo izpolniti v času trajanja ukrepa, kot tudi </w:t>
      </w:r>
      <w:r w:rsidRPr="00F0218C">
        <w:rPr>
          <w:rFonts w:asciiTheme="minorHAnsi" w:hAnsiTheme="minorHAnsi"/>
          <w:b/>
          <w:i/>
          <w:color w:val="1F497D" w:themeColor="text2"/>
          <w:sz w:val="20"/>
          <w:szCs w:val="20"/>
        </w:rPr>
        <w:t>za ostale udeležence, ki bi želeli poglobiti svoje kompetence in znanja</w:t>
      </w:r>
      <w:r>
        <w:rPr>
          <w:rFonts w:asciiTheme="minorHAnsi" w:hAnsiTheme="minorHAnsi"/>
          <w:sz w:val="20"/>
          <w:szCs w:val="20"/>
        </w:rPr>
        <w:t xml:space="preserve">.  </w:t>
      </w:r>
    </w:p>
    <w:p w:rsidR="00F0218C" w:rsidRDefault="00F0218C" w:rsidP="00F0218C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F0218C">
        <w:rPr>
          <w:rFonts w:asciiTheme="minorHAnsi" w:hAnsiTheme="minorHAnsi"/>
          <w:sz w:val="20"/>
          <w:szCs w:val="20"/>
        </w:rPr>
        <w:t xml:space="preserve">Do podpore v okviru tega ukrepa so upravičeni izvajalci usposabljanj, ki bodo ustrezno kvalificirani in bodo predložili </w:t>
      </w:r>
      <w:r w:rsidRPr="00F0218C">
        <w:rPr>
          <w:rFonts w:asciiTheme="minorHAnsi" w:hAnsiTheme="minorHAnsi"/>
          <w:b/>
          <w:i/>
          <w:color w:val="1F497D" w:themeColor="text2"/>
          <w:sz w:val="20"/>
          <w:szCs w:val="20"/>
        </w:rPr>
        <w:t>tri letni program za izvedbo usposabljanj</w:t>
      </w:r>
      <w:r w:rsidRPr="00F0218C">
        <w:rPr>
          <w:rFonts w:asciiTheme="minorHAnsi" w:hAnsiTheme="minorHAnsi"/>
          <w:sz w:val="20"/>
          <w:szCs w:val="20"/>
        </w:rPr>
        <w:t>, katerih vsebina mora prispevati k ciljem izbranih prednostnih področij ter horizontalnim ciljem (inovacije, skrb za okolje in podnebne spremembe).</w:t>
      </w:r>
    </w:p>
    <w:p w:rsidR="00F0218C" w:rsidRDefault="00F0218C" w:rsidP="00F0218C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F0218C">
        <w:rPr>
          <w:rFonts w:asciiTheme="minorHAnsi" w:hAnsiTheme="minorHAnsi"/>
          <w:sz w:val="20"/>
          <w:szCs w:val="20"/>
        </w:rPr>
        <w:t>V predloženem programu lahko izvajalec prijavi najmanj 5 oziroma največ 15 vsebinsko različnih usposabljanj. Izvajalec lahko izvedbo istega programa ponovi največ trikrat, pri tem pa mora zagotoviti, da se ponovitev izpelje v različnih letih izvajanja tega programa in v različnih krajih/regijah Slovenije.</w:t>
      </w:r>
      <w:r>
        <w:rPr>
          <w:rFonts w:asciiTheme="minorHAnsi" w:hAnsiTheme="minorHAnsi"/>
          <w:sz w:val="20"/>
          <w:szCs w:val="20"/>
        </w:rPr>
        <w:t xml:space="preserve"> </w:t>
      </w:r>
    </w:p>
    <w:p w:rsidR="00F0218C" w:rsidRPr="008C183F" w:rsidRDefault="00F0218C" w:rsidP="00F0218C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Velik poudarek bo namenjen </w:t>
      </w:r>
      <w:r w:rsidRPr="00F0218C">
        <w:rPr>
          <w:rFonts w:asciiTheme="minorHAnsi" w:hAnsiTheme="minorHAnsi"/>
          <w:b/>
          <w:i/>
          <w:color w:val="1F497D" w:themeColor="text2"/>
          <w:sz w:val="20"/>
          <w:szCs w:val="20"/>
        </w:rPr>
        <w:t>praktičnim prikazom</w:t>
      </w:r>
      <w:r>
        <w:rPr>
          <w:rFonts w:asciiTheme="minorHAnsi" w:hAnsiTheme="minorHAnsi"/>
          <w:sz w:val="20"/>
          <w:szCs w:val="20"/>
        </w:rPr>
        <w:t>.</w:t>
      </w: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i/>
          <w:iCs/>
          <w:sz w:val="20"/>
          <w:szCs w:val="20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  <w:u w:val="single"/>
        </w:rPr>
        <w:t xml:space="preserve">16. člen: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  <w:t>Službe za svetovanje, službe za pomoč pri upravljanju kmetij in službe za zagotavljanje nadomeščanja na kmetijah</w:t>
      </w: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:rsidR="00610900" w:rsidRPr="008C183F" w:rsidRDefault="008A2184" w:rsidP="00610900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Uvaja se </w:t>
      </w:r>
      <w:r w:rsidRPr="000256EE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nov ukrep 16. člen</w:t>
      </w:r>
      <w:r w:rsidRPr="008C183F">
        <w:rPr>
          <w:rFonts w:asciiTheme="minorHAnsi" w:hAnsiTheme="minorHAnsi"/>
          <w:sz w:val="20"/>
          <w:szCs w:val="20"/>
        </w:rPr>
        <w:t xml:space="preserve">, ki spodbuja večji dostop do </w:t>
      </w:r>
      <w:r w:rsidRPr="000256EE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specializiranega svetovanja</w:t>
      </w:r>
      <w:r w:rsidRPr="008C183F">
        <w:rPr>
          <w:rFonts w:asciiTheme="minorHAnsi" w:hAnsiTheme="minorHAnsi"/>
          <w:sz w:val="20"/>
          <w:szCs w:val="20"/>
        </w:rPr>
        <w:t>.</w:t>
      </w:r>
    </w:p>
    <w:p w:rsidR="00F0218C" w:rsidRDefault="00F0218C" w:rsidP="00F0218C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F0218C">
        <w:rPr>
          <w:rFonts w:asciiTheme="minorHAnsi" w:hAnsiTheme="minorHAnsi"/>
          <w:sz w:val="20"/>
          <w:szCs w:val="20"/>
        </w:rPr>
        <w:t>Dostopnost kakovostnih svetovalnih storitev je eden od pomembnih vzvodov za pospeševanje prenosa znanja in inovacij v kmetijstvu, gozdarstvu in na podeželskih območjih ter krepitev baze znanja.</w:t>
      </w:r>
    </w:p>
    <w:p w:rsidR="00F0218C" w:rsidRDefault="00F0218C" w:rsidP="00F0218C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F0218C">
        <w:rPr>
          <w:rFonts w:asciiTheme="minorHAnsi" w:hAnsiTheme="minorHAnsi"/>
          <w:sz w:val="20"/>
          <w:szCs w:val="20"/>
        </w:rPr>
        <w:t xml:space="preserve">Svetovalne storitve morajo odgovoriti na </w:t>
      </w:r>
      <w:r w:rsidRPr="00F0218C">
        <w:rPr>
          <w:rFonts w:asciiTheme="minorHAnsi" w:hAnsiTheme="minorHAnsi"/>
          <w:b/>
          <w:i/>
          <w:color w:val="1F497D" w:themeColor="text2"/>
          <w:sz w:val="20"/>
          <w:szCs w:val="20"/>
        </w:rPr>
        <w:t>povpraševanje</w:t>
      </w:r>
      <w:r w:rsidRPr="00F0218C">
        <w:rPr>
          <w:rFonts w:asciiTheme="minorHAnsi" w:hAnsiTheme="minorHAnsi"/>
          <w:sz w:val="20"/>
          <w:szCs w:val="20"/>
        </w:rPr>
        <w:t xml:space="preserve"> oziroma dejanske potrebe končnih uporabnikov</w:t>
      </w:r>
      <w:r>
        <w:rPr>
          <w:rFonts w:asciiTheme="minorHAnsi" w:hAnsiTheme="minorHAnsi"/>
          <w:sz w:val="20"/>
          <w:szCs w:val="20"/>
        </w:rPr>
        <w:t>.</w:t>
      </w:r>
    </w:p>
    <w:p w:rsidR="00610900" w:rsidRDefault="00610900" w:rsidP="00610900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>Podpora v okviru tega ukrepa se odobri</w:t>
      </w: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</w:rPr>
        <w:t xml:space="preserve"> </w:t>
      </w:r>
      <w:r w:rsidRPr="000256EE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kvalificiranim organizacijam javnega in zasebnega prava</w:t>
      </w:r>
      <w:r w:rsidRPr="008C183F">
        <w:rPr>
          <w:rFonts w:asciiTheme="minorHAnsi" w:hAnsiTheme="minorHAnsi"/>
          <w:sz w:val="20"/>
          <w:szCs w:val="20"/>
        </w:rPr>
        <w:t xml:space="preserve">, ki bodo evidentirane kot usposobljene za izvajanje individualnih svetovanj kmetom, posestnikom gozdov, drugim upravljavcem kmetijskih in gozdnih zemljišč in MSP na podeželskih območjih. </w:t>
      </w:r>
    </w:p>
    <w:p w:rsidR="0085583B" w:rsidRDefault="0085583B" w:rsidP="0085583B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Z javnim razpisom bodo izbrani kvalificirani izvajalci svetovanja. Za eno področje je lahko izbranih več izvajalcev svetovanja. Seznam izbranih izvajalec bo javno objavljen. Izbrani bodo lahko</w:t>
      </w:r>
      <w:r w:rsidRPr="0085583B">
        <w:rPr>
          <w:rFonts w:asciiTheme="minorHAnsi" w:hAnsiTheme="minorHAnsi"/>
          <w:sz w:val="20"/>
          <w:szCs w:val="20"/>
        </w:rPr>
        <w:t xml:space="preserve"> za celotno obdobje izvajanja programa. </w:t>
      </w:r>
    </w:p>
    <w:p w:rsidR="00F0218C" w:rsidRPr="008C183F" w:rsidRDefault="00F0218C" w:rsidP="00F0218C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F0218C">
        <w:rPr>
          <w:rFonts w:asciiTheme="minorHAnsi" w:hAnsiTheme="minorHAnsi"/>
          <w:sz w:val="20"/>
          <w:szCs w:val="20"/>
        </w:rPr>
        <w:t>Rezultat svetovalne storitve mora biti oprijemljiv in preverljiv</w:t>
      </w:r>
      <w:r>
        <w:rPr>
          <w:rFonts w:asciiTheme="minorHAnsi" w:hAnsiTheme="minorHAnsi"/>
          <w:sz w:val="20"/>
          <w:szCs w:val="20"/>
        </w:rPr>
        <w:t>.</w:t>
      </w: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  <w:u w:val="single"/>
        </w:rPr>
        <w:t xml:space="preserve">17. člen: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  <w:t>Sheme kakovosti za kmetijske proizvode, živila in kmetije</w:t>
      </w: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:rsidR="00610900" w:rsidRDefault="00610900" w:rsidP="00610900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>Namen ukrepa je omogočiti kmetom lažji prehod iz konvencionalnega načina kmetovanja v način kmetovanja, zahtevan za sheme kakovosti.</w:t>
      </w:r>
    </w:p>
    <w:p w:rsidR="000256EE" w:rsidRPr="008C183F" w:rsidRDefault="000256EE" w:rsidP="000256EE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0256EE">
        <w:rPr>
          <w:rFonts w:asciiTheme="minorHAnsi" w:hAnsiTheme="minorHAnsi"/>
          <w:sz w:val="20"/>
          <w:szCs w:val="20"/>
        </w:rPr>
        <w:lastRenderedPageBreak/>
        <w:t xml:space="preserve">Podpora se dodeli v obliki nepovratne finančne pomoči za kmetijska gospodarstva, ki </w:t>
      </w:r>
      <w:r w:rsidRPr="000256EE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na novo</w:t>
      </w:r>
      <w:r w:rsidRPr="000256EE">
        <w:rPr>
          <w:rFonts w:asciiTheme="minorHAnsi" w:hAnsiTheme="minorHAnsi"/>
          <w:sz w:val="20"/>
          <w:szCs w:val="20"/>
        </w:rPr>
        <w:t xml:space="preserve"> vstopajo v sheme kakovosti. Nepovratna pomoč se dodeli v obliki letnega spodbujevalnega plačila za obdobje največ petih let.</w:t>
      </w: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  <w:u w:val="single"/>
        </w:rPr>
        <w:t xml:space="preserve">18. člen: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  <w:t>Naložbe v opredmetena sredstva</w:t>
      </w: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:rsidR="008A2184" w:rsidRPr="008C183F" w:rsidRDefault="008A2184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V okviru ukrepa </w:t>
      </w: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</w:rPr>
        <w:t>18. člena</w:t>
      </w:r>
      <w:r w:rsidRPr="008C183F">
        <w:rPr>
          <w:rFonts w:asciiTheme="minorHAnsi" w:hAnsiTheme="minorHAnsi"/>
          <w:sz w:val="20"/>
          <w:szCs w:val="20"/>
        </w:rPr>
        <w:t xml:space="preserve"> (»Naložbe v opredmetena sredstva«) se sedaj združujejo vidiki povečevanja splošne učinkovitosti</w:t>
      </w:r>
      <w:r w:rsidR="00E869FB">
        <w:rPr>
          <w:rFonts w:asciiTheme="minorHAnsi" w:hAnsiTheme="minorHAnsi"/>
          <w:sz w:val="20"/>
          <w:szCs w:val="20"/>
        </w:rPr>
        <w:t xml:space="preserve"> kmetijskih gospodarstev</w:t>
      </w:r>
      <w:r w:rsidRPr="008C183F">
        <w:rPr>
          <w:rFonts w:asciiTheme="minorHAnsi" w:hAnsiTheme="minorHAnsi"/>
          <w:sz w:val="20"/>
          <w:szCs w:val="20"/>
        </w:rPr>
        <w:t xml:space="preserve">, predelave, trženja in razvoja kmetijskih proizvodov ter razvoja in prilagoditve kmetijske in gozdarske infrastrukture. </w:t>
      </w:r>
    </w:p>
    <w:p w:rsidR="008B2F9C" w:rsidRDefault="008A2184" w:rsidP="00B461AF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>V okviru povečevanja splošne učinkovitosti (v obdobju 2007–2013 je bil t</w:t>
      </w:r>
      <w:r w:rsidR="00E869FB">
        <w:rPr>
          <w:rFonts w:asciiTheme="minorHAnsi" w:hAnsiTheme="minorHAnsi"/>
          <w:sz w:val="20"/>
          <w:szCs w:val="20"/>
        </w:rPr>
        <w:t xml:space="preserve">emu namenjen </w:t>
      </w:r>
      <w:r w:rsidRPr="008C183F">
        <w:rPr>
          <w:rFonts w:asciiTheme="minorHAnsi" w:hAnsiTheme="minorHAnsi"/>
          <w:sz w:val="20"/>
          <w:szCs w:val="20"/>
        </w:rPr>
        <w:t>ukrep 121 – Posodabljanje kmetijskih gospodarstev)</w:t>
      </w:r>
      <w:r w:rsidR="008B2F9C">
        <w:rPr>
          <w:rFonts w:asciiTheme="minorHAnsi" w:hAnsiTheme="minorHAnsi"/>
          <w:sz w:val="20"/>
          <w:szCs w:val="20"/>
        </w:rPr>
        <w:t>:</w:t>
      </w:r>
    </w:p>
    <w:p w:rsidR="008B2F9C" w:rsidRDefault="00ED0102" w:rsidP="008B2F9C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uvajamo</w:t>
      </w:r>
      <w:r w:rsidR="008A2184" w:rsidRPr="008C183F">
        <w:rPr>
          <w:rFonts w:asciiTheme="minorHAnsi" w:hAnsiTheme="minorHAnsi"/>
          <w:sz w:val="20"/>
          <w:szCs w:val="20"/>
        </w:rPr>
        <w:t xml:space="preserve"> </w:t>
      </w:r>
      <w:r w:rsidR="008A2184"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dvotirni sistem spodbujanja investicij</w:t>
      </w:r>
      <w:r w:rsidR="008A2184" w:rsidRPr="008C183F">
        <w:rPr>
          <w:rFonts w:asciiTheme="minorHAnsi" w:hAnsiTheme="minorHAnsi"/>
          <w:sz w:val="20"/>
          <w:szCs w:val="20"/>
        </w:rPr>
        <w:t xml:space="preserve"> glede na ekonomsko velikost kmetijskih gospodarstev, </w:t>
      </w:r>
    </w:p>
    <w:p w:rsidR="008B2F9C" w:rsidRDefault="008A2184" w:rsidP="008B2F9C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>spodbuja</w:t>
      </w:r>
      <w:r w:rsidR="00ED0102">
        <w:rPr>
          <w:rFonts w:asciiTheme="minorHAnsi" w:hAnsiTheme="minorHAnsi"/>
          <w:sz w:val="20"/>
          <w:szCs w:val="20"/>
        </w:rPr>
        <w:t>mo</w:t>
      </w:r>
      <w:r w:rsidRPr="008C183F">
        <w:rPr>
          <w:rFonts w:asciiTheme="minorHAnsi" w:hAnsiTheme="minorHAnsi"/>
          <w:sz w:val="20"/>
          <w:szCs w:val="20"/>
        </w:rPr>
        <w:t xml:space="preserve"> prehod na vodenje </w:t>
      </w:r>
      <w:r w:rsidRPr="00ED0102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knjigovodstva po dejanskih prihodkih in odhodkih</w:t>
      </w:r>
      <w:r w:rsidRPr="008C183F">
        <w:rPr>
          <w:rFonts w:asciiTheme="minorHAnsi" w:hAnsiTheme="minorHAnsi"/>
          <w:sz w:val="20"/>
          <w:szCs w:val="20"/>
        </w:rPr>
        <w:t xml:space="preserve"> ter</w:t>
      </w:r>
    </w:p>
    <w:p w:rsidR="008A2184" w:rsidRPr="008C183F" w:rsidRDefault="008A2184" w:rsidP="008B2F9C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>večji poudarek namenja</w:t>
      </w:r>
      <w:r w:rsidR="00ED0102">
        <w:rPr>
          <w:rFonts w:asciiTheme="minorHAnsi" w:hAnsiTheme="minorHAnsi"/>
          <w:sz w:val="20"/>
          <w:szCs w:val="20"/>
        </w:rPr>
        <w:t xml:space="preserve">mo </w:t>
      </w:r>
      <w:r w:rsidR="00ED0102" w:rsidRPr="00ED0102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realizaciji aktivnosti</w:t>
      </w:r>
      <w:r w:rsidRPr="00ED0102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 xml:space="preserve"> </w:t>
      </w:r>
      <w:r w:rsidR="00ED0102" w:rsidRPr="00ED0102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 xml:space="preserve">iz </w:t>
      </w:r>
      <w:r w:rsidRPr="00ED0102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poslovne</w:t>
      </w:r>
      <w:r w:rsidR="00ED0102" w:rsidRPr="00ED0102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ga</w:t>
      </w:r>
      <w:r w:rsidRPr="00ED0102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 xml:space="preserve"> načrt</w:t>
      </w:r>
      <w:r w:rsidR="00ED0102" w:rsidRPr="00ED0102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a</w:t>
      </w:r>
      <w:r w:rsidRPr="008C183F">
        <w:rPr>
          <w:rFonts w:asciiTheme="minorHAnsi" w:hAnsiTheme="minorHAnsi"/>
          <w:sz w:val="20"/>
          <w:szCs w:val="20"/>
        </w:rPr>
        <w:t xml:space="preserve">.  </w:t>
      </w:r>
    </w:p>
    <w:p w:rsidR="008A2184" w:rsidRPr="008C183F" w:rsidRDefault="008A2184" w:rsidP="00B461AF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V okviru spodbujanja predelave, trženja in razvoja kmetijskih proizvodov se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 xml:space="preserve">ukinja </w:t>
      </w:r>
      <w:r w:rsidR="00ED0102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segmentacija upravičencev</w:t>
      </w:r>
      <w:r w:rsidRPr="008C183F">
        <w:rPr>
          <w:rFonts w:asciiTheme="minorHAnsi" w:hAnsiTheme="minorHAnsi"/>
          <w:sz w:val="20"/>
          <w:szCs w:val="20"/>
        </w:rPr>
        <w:t xml:space="preserve">, kot smo jo poznali v okviru ukrepa 123 – Dodajanje vrednosti kmetijskim in gozdarskim proizvodov. Kot upravičence se v okviru 18. člena navaja pravne osebe in samostojne podjetnike posameznike. Z obdobjem 2014–2020 bodo kmetije z dopolnilno dejavnostjo do tovrstnih podpor upravičene v okviru 20. člena (»Razvoj kmetij in podjetij«). </w:t>
      </w: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color w:val="365F91" w:themeColor="accent1" w:themeShade="BF"/>
          <w:sz w:val="20"/>
          <w:szCs w:val="20"/>
          <w:u w:val="single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  <w:u w:val="single"/>
        </w:rPr>
        <w:t xml:space="preserve">20. člen: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  <w:t>Razvoj kmetij in podjetij</w:t>
      </w: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</w:p>
    <w:p w:rsidR="008C183F" w:rsidRPr="008C183F" w:rsidRDefault="008C183F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Ta ukrep se deli na </w:t>
      </w:r>
      <w:r w:rsidRPr="00ED0102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tri podukrepe</w:t>
      </w:r>
      <w:r w:rsidRPr="008C183F">
        <w:rPr>
          <w:rFonts w:asciiTheme="minorHAnsi" w:hAnsiTheme="minorHAnsi"/>
          <w:sz w:val="20"/>
          <w:szCs w:val="20"/>
        </w:rPr>
        <w:t xml:space="preserve">: </w:t>
      </w:r>
      <w:r w:rsidRPr="00ED0102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pomoč za zagon dejavnosti za mlade kmete, pomoč za zagon nekmetijske dejavnosti in naložbe v vzpostavitev in razvoj nekmetijskih dejavnosti</w:t>
      </w:r>
      <w:r w:rsidRPr="008C183F">
        <w:rPr>
          <w:rFonts w:asciiTheme="minorHAnsi" w:hAnsiTheme="minorHAnsi"/>
          <w:sz w:val="20"/>
          <w:szCs w:val="20"/>
        </w:rPr>
        <w:t>.</w:t>
      </w:r>
    </w:p>
    <w:p w:rsidR="008C183F" w:rsidRPr="008C183F" w:rsidRDefault="008A2184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V okviru 20. člena (»Razvoj kmetij in podjetij«) se sedaj združuje vsebine ukrepov 311 – Diverzifikacija v nekmetijske dejavnosti, 312 – Ustavljanje in razvoj mikropodjetij, 112 – Pomoč mladim prevzemnikom kmetij.  </w:t>
      </w:r>
    </w:p>
    <w:p w:rsidR="008A2184" w:rsidRPr="008C183F" w:rsidRDefault="008A2184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Ključna novost je ta, da se »start up« podpora za mlade kmete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ne povezuje več z lastniškim prevzemom</w:t>
      </w:r>
      <w:r w:rsidRPr="008C183F">
        <w:rPr>
          <w:rFonts w:asciiTheme="minorHAnsi" w:hAnsiTheme="minorHAnsi"/>
          <w:sz w:val="20"/>
          <w:szCs w:val="20"/>
        </w:rPr>
        <w:t xml:space="preserve">, temveč z upravljanjem kmetijskega gospodarstva. Večji poudarek je namenjen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realizaciji poslovnega načrta</w:t>
      </w:r>
      <w:r w:rsidRPr="008C183F">
        <w:rPr>
          <w:rFonts w:asciiTheme="minorHAnsi" w:hAnsiTheme="minorHAnsi"/>
          <w:sz w:val="20"/>
          <w:szCs w:val="20"/>
        </w:rPr>
        <w:t xml:space="preserve"> (na izvedbo vseh aktivnosti je vezano zadnje izplačilo sredstev). Prav tako </w:t>
      </w:r>
      <w:r w:rsidR="00ED0102">
        <w:rPr>
          <w:rFonts w:asciiTheme="minorHAnsi" w:hAnsiTheme="minorHAnsi"/>
          <w:sz w:val="20"/>
          <w:szCs w:val="20"/>
        </w:rPr>
        <w:t xml:space="preserve">bo poraba </w:t>
      </w:r>
      <w:r w:rsidRPr="008C183F">
        <w:rPr>
          <w:rFonts w:asciiTheme="minorHAnsi" w:hAnsiTheme="minorHAnsi"/>
          <w:sz w:val="20"/>
          <w:szCs w:val="20"/>
        </w:rPr>
        <w:t>zagonsk</w:t>
      </w:r>
      <w:r w:rsidR="00ED0102">
        <w:rPr>
          <w:rFonts w:asciiTheme="minorHAnsi" w:hAnsiTheme="minorHAnsi"/>
          <w:sz w:val="20"/>
          <w:szCs w:val="20"/>
        </w:rPr>
        <w:t>e</w:t>
      </w:r>
      <w:r w:rsidRPr="008C183F">
        <w:rPr>
          <w:rFonts w:asciiTheme="minorHAnsi" w:hAnsiTheme="minorHAnsi"/>
          <w:sz w:val="20"/>
          <w:szCs w:val="20"/>
        </w:rPr>
        <w:t xml:space="preserve"> podpor</w:t>
      </w:r>
      <w:r w:rsidR="00ED0102">
        <w:rPr>
          <w:rFonts w:asciiTheme="minorHAnsi" w:hAnsiTheme="minorHAnsi"/>
          <w:sz w:val="20"/>
          <w:szCs w:val="20"/>
        </w:rPr>
        <w:t>e</w:t>
      </w:r>
      <w:r w:rsidRPr="008C183F">
        <w:rPr>
          <w:rFonts w:asciiTheme="minorHAnsi" w:hAnsiTheme="minorHAnsi"/>
          <w:sz w:val="20"/>
          <w:szCs w:val="20"/>
        </w:rPr>
        <w:t xml:space="preserve"> vezana na izvedbo </w:t>
      </w:r>
      <w:r w:rsidR="00ED0102">
        <w:rPr>
          <w:rFonts w:asciiTheme="minorHAnsi" w:hAnsiTheme="minorHAnsi"/>
          <w:sz w:val="20"/>
          <w:szCs w:val="20"/>
        </w:rPr>
        <w:t xml:space="preserve">v poslovnem načrtu opredeljenih </w:t>
      </w:r>
      <w:r w:rsidRPr="008C183F">
        <w:rPr>
          <w:rFonts w:asciiTheme="minorHAnsi" w:hAnsiTheme="minorHAnsi"/>
          <w:sz w:val="20"/>
          <w:szCs w:val="20"/>
        </w:rPr>
        <w:t xml:space="preserve">investicij. </w:t>
      </w:r>
    </w:p>
    <w:p w:rsidR="00610900" w:rsidRPr="008C183F" w:rsidRDefault="008A2184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Prav tako je sedaj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jasno določena vsebina in namen zagonske podpore</w:t>
      </w:r>
      <w:r w:rsidRPr="008C183F">
        <w:rPr>
          <w:rFonts w:asciiTheme="minorHAnsi" w:hAnsiTheme="minorHAnsi"/>
          <w:sz w:val="20"/>
          <w:szCs w:val="20"/>
        </w:rPr>
        <w:t xml:space="preserve">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za nekmetijske dejavnosti in naložbami vanje</w:t>
      </w:r>
      <w:r w:rsidRPr="008C183F">
        <w:rPr>
          <w:rFonts w:asciiTheme="minorHAnsi" w:hAnsiTheme="minorHAnsi"/>
          <w:sz w:val="20"/>
          <w:szCs w:val="20"/>
        </w:rPr>
        <w:t xml:space="preserve">. Namen ukrepa je vzpostavitev, razvoj in naložbe v dejavnosti, ki bodo povezane z izkoriščanjem gozdnega potenciala (predvsem dodajanje vrednosti proizvodom iz lesa), dodajanjem vrednosti in trženjem kmetijskih in živilskih proizvodov, obnovljivimi viri energije, trajnostnim sonaravnim podeželskim turizmom, socialno-varstvenimi storitvami, prenosom znanja in socialnim podjetništvom. </w:t>
      </w:r>
    </w:p>
    <w:p w:rsidR="008A2184" w:rsidRPr="008C183F" w:rsidRDefault="008A2184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Do podpor za ta namen </w:t>
      </w:r>
      <w:r w:rsidR="00ED0102">
        <w:rPr>
          <w:rFonts w:asciiTheme="minorHAnsi" w:hAnsiTheme="minorHAnsi"/>
          <w:sz w:val="20"/>
          <w:szCs w:val="20"/>
        </w:rPr>
        <w:t>bodo</w:t>
      </w:r>
      <w:r w:rsidRPr="008C183F">
        <w:rPr>
          <w:rFonts w:asciiTheme="minorHAnsi" w:hAnsiTheme="minorHAnsi"/>
          <w:sz w:val="20"/>
          <w:szCs w:val="20"/>
        </w:rPr>
        <w:t xml:space="preserve"> upravičeni </w:t>
      </w:r>
      <w:r w:rsidRPr="00ED0102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kmetje ali člani kmečkega gospodinjstva</w:t>
      </w:r>
      <w:r w:rsidRPr="008C183F">
        <w:rPr>
          <w:rFonts w:asciiTheme="minorHAnsi" w:hAnsiTheme="minorHAnsi"/>
          <w:sz w:val="20"/>
          <w:szCs w:val="20"/>
        </w:rPr>
        <w:t xml:space="preserve">.  </w:t>
      </w: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  <w:u w:val="single"/>
        </w:rPr>
        <w:t xml:space="preserve">27. člen: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  <w:t>Naložbe v gozdarske tehnologije ter predelavo in trženje gozdnih proizvodov</w:t>
      </w: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</w:p>
    <w:p w:rsidR="008A2184" w:rsidRDefault="008A2184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>V okviru ukrepa 27. člena (»Naložbe v gozdarske tehnologije ter predelavo in trženje gozdnih proizvodov«) se sedaj združujeta dva nekdanja ukrepa iz obdobja 2007–2013, to sta ukrepa 122 – Povečanje gospodarske vrednosti gozdov in del ukrepa 123 – Dodajanje vrednosti kmetijskim in gozdarskim proizvodom.</w:t>
      </w:r>
    </w:p>
    <w:p w:rsidR="00EC1D63" w:rsidRPr="008C183F" w:rsidRDefault="00EC1D63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Ta ukrep vidimo kot enega izmed ključnih v spodbujanju </w:t>
      </w:r>
      <w:r w:rsidRPr="00EC1D63">
        <w:rPr>
          <w:rFonts w:asciiTheme="minorHAnsi" w:hAnsiTheme="minorHAnsi"/>
          <w:b/>
          <w:i/>
          <w:color w:val="1F497D" w:themeColor="text2"/>
          <w:sz w:val="20"/>
          <w:szCs w:val="20"/>
        </w:rPr>
        <w:t>razvoja gozdno-lesnih verig</w:t>
      </w:r>
      <w:r>
        <w:rPr>
          <w:rFonts w:asciiTheme="minorHAnsi" w:hAnsiTheme="minorHAnsi"/>
          <w:sz w:val="20"/>
          <w:szCs w:val="20"/>
        </w:rPr>
        <w:t>.</w:t>
      </w: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</w:p>
    <w:p w:rsidR="00610900" w:rsidRPr="008C183F" w:rsidRDefault="00610900" w:rsidP="00610900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  <w:u w:val="single"/>
        </w:rPr>
        <w:t>28. člen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  <w:t>: Ustanovitev skupin proizvajalcev</w:t>
      </w: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</w:p>
    <w:p w:rsidR="008A2184" w:rsidRPr="008C183F" w:rsidRDefault="008A2184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Pri ukrepu 28. člena (»Ustanovitev skupin proizvajalcev«) je ključna novost ta, da se ukrep širi tudi na </w:t>
      </w:r>
      <w:r w:rsidRPr="00ED0102">
        <w:rPr>
          <w:rFonts w:asciiTheme="minorHAnsi" w:hAnsiTheme="minorHAnsi"/>
          <w:color w:val="000000" w:themeColor="text1"/>
          <w:sz w:val="20"/>
          <w:szCs w:val="20"/>
        </w:rPr>
        <w:t>področje</w:t>
      </w:r>
      <w:r w:rsidRPr="00ED0102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 xml:space="preserve"> gozdarstva</w:t>
      </w:r>
      <w:r w:rsidRPr="008C183F">
        <w:rPr>
          <w:rFonts w:asciiTheme="minorHAnsi" w:hAnsiTheme="minorHAnsi"/>
          <w:sz w:val="20"/>
          <w:szCs w:val="20"/>
        </w:rPr>
        <w:t>.</w:t>
      </w:r>
      <w:r w:rsidR="00B1432A" w:rsidRPr="008C183F">
        <w:rPr>
          <w:rFonts w:asciiTheme="minorHAnsi" w:hAnsiTheme="minorHAnsi"/>
          <w:sz w:val="20"/>
          <w:szCs w:val="20"/>
        </w:rPr>
        <w:t xml:space="preserve"> </w:t>
      </w:r>
    </w:p>
    <w:p w:rsidR="00B1432A" w:rsidRPr="008C183F" w:rsidRDefault="00B1432A" w:rsidP="00B1432A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napToGrid w:val="0"/>
          <w:sz w:val="20"/>
          <w:szCs w:val="20"/>
        </w:rPr>
      </w:pPr>
      <w:r w:rsidRPr="008C183F">
        <w:rPr>
          <w:rFonts w:asciiTheme="minorHAnsi" w:hAnsiTheme="minorHAnsi"/>
          <w:snapToGrid w:val="0"/>
          <w:sz w:val="20"/>
          <w:szCs w:val="20"/>
        </w:rPr>
        <w:t>Podpora je omejena na skupine proizvajalcev, ki ustrezajo opredelitvi pojma MSP.</w:t>
      </w: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color w:val="365F91" w:themeColor="accent1" w:themeShade="BF"/>
          <w:sz w:val="20"/>
          <w:szCs w:val="20"/>
          <w:u w:val="single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  <w:u w:val="single"/>
        </w:rPr>
        <w:t xml:space="preserve">29. člen: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  <w:t>Kmetijsko-okoljsko-podnebni ukrep</w:t>
      </w: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</w:p>
    <w:p w:rsidR="00D906D1" w:rsidRDefault="00D906D1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Kmetijsko-okoljskim plačilom iz programskega obdobja 2007–2013 se v novem programskem obdobju 2014–2020 dodaja </w:t>
      </w:r>
      <w:r w:rsidR="00651BDC">
        <w:rPr>
          <w:rFonts w:asciiTheme="minorHAnsi" w:hAnsiTheme="minorHAnsi"/>
          <w:sz w:val="20"/>
          <w:szCs w:val="20"/>
        </w:rPr>
        <w:t xml:space="preserve">»podnebni </w:t>
      </w:r>
      <w:r>
        <w:rPr>
          <w:rFonts w:asciiTheme="minorHAnsi" w:hAnsiTheme="minorHAnsi"/>
          <w:sz w:val="20"/>
          <w:szCs w:val="20"/>
        </w:rPr>
        <w:t>vidik</w:t>
      </w:r>
      <w:r w:rsidR="00651BDC">
        <w:rPr>
          <w:rFonts w:asciiTheme="minorHAnsi" w:hAnsiTheme="minorHAnsi"/>
          <w:sz w:val="20"/>
          <w:szCs w:val="20"/>
        </w:rPr>
        <w:t xml:space="preserve">«.   </w:t>
      </w:r>
    </w:p>
    <w:p w:rsidR="00B1432A" w:rsidRDefault="008A2184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Kmetijsko-okoljska in kmetijsko podnebna plačila (29. člen) so sedaj zasnovana drugače – paketnega pristopa ni več, temveč se daje kmetu možnost, da si sam oblikuje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nabor dodatnih zahtev</w:t>
      </w:r>
      <w:r w:rsidRPr="008C183F">
        <w:rPr>
          <w:rFonts w:asciiTheme="minorHAnsi" w:hAnsiTheme="minorHAnsi"/>
          <w:sz w:val="20"/>
          <w:szCs w:val="20"/>
        </w:rPr>
        <w:t xml:space="preserve">, poleg osnovnih, ki jih je pripravljen izvajati. </w:t>
      </w:r>
    </w:p>
    <w:p w:rsidR="00D906D1" w:rsidRPr="00D906D1" w:rsidRDefault="00D906D1" w:rsidP="00D906D1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D906D1">
        <w:rPr>
          <w:rFonts w:asciiTheme="minorHAnsi" w:hAnsiTheme="minorHAnsi"/>
          <w:sz w:val="20"/>
          <w:szCs w:val="20"/>
        </w:rPr>
        <w:t>Upravičenec, ki je vključen v ukrep</w:t>
      </w:r>
      <w:r>
        <w:rPr>
          <w:rFonts w:asciiTheme="minorHAnsi" w:hAnsiTheme="minorHAnsi"/>
          <w:sz w:val="20"/>
          <w:szCs w:val="20"/>
        </w:rPr>
        <w:t xml:space="preserve">, </w:t>
      </w:r>
      <w:r w:rsidRPr="00D906D1">
        <w:rPr>
          <w:rFonts w:asciiTheme="minorHAnsi" w:hAnsiTheme="minorHAnsi"/>
          <w:sz w:val="20"/>
          <w:szCs w:val="20"/>
        </w:rPr>
        <w:t>mora izpolnjevati vse osnovne zahteve in izvajati eno ali več dodatnih zahtev po lastni izbiri</w:t>
      </w:r>
      <w:r>
        <w:rPr>
          <w:rFonts w:asciiTheme="minorHAnsi" w:hAnsiTheme="minorHAnsi"/>
          <w:sz w:val="20"/>
          <w:szCs w:val="20"/>
        </w:rPr>
        <w:t xml:space="preserve">. </w:t>
      </w:r>
      <w:r w:rsidRPr="00D906D1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Dodatne zahteve se nanašajo na naslednje kategorije shem</w:t>
      </w:r>
      <w:r w:rsidRPr="00D906D1">
        <w:rPr>
          <w:rFonts w:asciiTheme="minorHAnsi" w:hAnsiTheme="minorHAnsi"/>
          <w:sz w:val="20"/>
          <w:szCs w:val="20"/>
        </w:rPr>
        <w:t>:</w:t>
      </w:r>
    </w:p>
    <w:p w:rsidR="00D906D1" w:rsidRPr="00D906D1" w:rsidRDefault="00D906D1" w:rsidP="00D906D1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D906D1">
        <w:rPr>
          <w:rFonts w:asciiTheme="minorHAnsi" w:hAnsiTheme="minorHAnsi"/>
          <w:sz w:val="20"/>
          <w:szCs w:val="20"/>
        </w:rPr>
        <w:t>gnojenje;</w:t>
      </w:r>
    </w:p>
    <w:p w:rsidR="00D906D1" w:rsidRPr="00D906D1" w:rsidRDefault="00D906D1" w:rsidP="00D906D1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D906D1">
        <w:rPr>
          <w:rFonts w:asciiTheme="minorHAnsi" w:hAnsiTheme="minorHAnsi"/>
          <w:sz w:val="20"/>
          <w:szCs w:val="20"/>
        </w:rPr>
        <w:t>varstvo rastlin;</w:t>
      </w:r>
    </w:p>
    <w:p w:rsidR="00D906D1" w:rsidRPr="00D906D1" w:rsidRDefault="00D906D1" w:rsidP="00D906D1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D906D1">
        <w:rPr>
          <w:rFonts w:asciiTheme="minorHAnsi" w:hAnsiTheme="minorHAnsi"/>
          <w:sz w:val="20"/>
          <w:szCs w:val="20"/>
        </w:rPr>
        <w:t>posevki/kolobarjenje;</w:t>
      </w:r>
    </w:p>
    <w:p w:rsidR="00D906D1" w:rsidRPr="00D906D1" w:rsidRDefault="00D906D1" w:rsidP="00D906D1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D906D1">
        <w:rPr>
          <w:rFonts w:asciiTheme="minorHAnsi" w:hAnsiTheme="minorHAnsi"/>
          <w:sz w:val="20"/>
          <w:szCs w:val="20"/>
        </w:rPr>
        <w:t>obdelava/oskrba;</w:t>
      </w:r>
    </w:p>
    <w:p w:rsidR="00D906D1" w:rsidRPr="00D906D1" w:rsidRDefault="00D906D1" w:rsidP="00D906D1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D906D1">
        <w:rPr>
          <w:rFonts w:asciiTheme="minorHAnsi" w:hAnsiTheme="minorHAnsi"/>
          <w:sz w:val="20"/>
          <w:szCs w:val="20"/>
        </w:rPr>
        <w:t>košnja/paša;</w:t>
      </w:r>
    </w:p>
    <w:p w:rsidR="00D906D1" w:rsidRPr="00D906D1" w:rsidRDefault="00D906D1" w:rsidP="00D906D1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D906D1">
        <w:rPr>
          <w:rFonts w:asciiTheme="minorHAnsi" w:hAnsiTheme="minorHAnsi"/>
          <w:sz w:val="20"/>
          <w:szCs w:val="20"/>
        </w:rPr>
        <w:t>travniški sadovnjaki;</w:t>
      </w:r>
    </w:p>
    <w:p w:rsidR="00D906D1" w:rsidRPr="00D906D1" w:rsidRDefault="00D906D1" w:rsidP="00D906D1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D906D1">
        <w:rPr>
          <w:rFonts w:asciiTheme="minorHAnsi" w:hAnsiTheme="minorHAnsi"/>
          <w:sz w:val="20"/>
          <w:szCs w:val="20"/>
        </w:rPr>
        <w:t>nasadi z njivsko rabo oziroma večnamenski sadovnjaki;</w:t>
      </w:r>
    </w:p>
    <w:p w:rsidR="00D906D1" w:rsidRPr="00D906D1" w:rsidRDefault="00D906D1" w:rsidP="00D906D1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D906D1">
        <w:rPr>
          <w:rFonts w:asciiTheme="minorHAnsi" w:hAnsiTheme="minorHAnsi"/>
          <w:sz w:val="20"/>
          <w:szCs w:val="20"/>
        </w:rPr>
        <w:t>planine;</w:t>
      </w:r>
    </w:p>
    <w:p w:rsidR="00D906D1" w:rsidRPr="00D906D1" w:rsidRDefault="00D906D1" w:rsidP="00D906D1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D906D1">
        <w:rPr>
          <w:rFonts w:asciiTheme="minorHAnsi" w:hAnsiTheme="minorHAnsi"/>
          <w:sz w:val="20"/>
          <w:szCs w:val="20"/>
        </w:rPr>
        <w:t>genski viri;</w:t>
      </w:r>
    </w:p>
    <w:p w:rsidR="00D906D1" w:rsidRPr="00D906D1" w:rsidRDefault="00D906D1" w:rsidP="00D906D1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D906D1">
        <w:rPr>
          <w:rFonts w:asciiTheme="minorHAnsi" w:hAnsiTheme="minorHAnsi"/>
          <w:sz w:val="20"/>
          <w:szCs w:val="20"/>
        </w:rPr>
        <w:t>sobivanje z zvermi in divjadjo.</w:t>
      </w:r>
    </w:p>
    <w:p w:rsidR="00D906D1" w:rsidRPr="00D906D1" w:rsidRDefault="00D906D1" w:rsidP="00D906D1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D906D1">
        <w:rPr>
          <w:rFonts w:asciiTheme="minorHAnsi" w:hAnsiTheme="minorHAnsi"/>
          <w:sz w:val="20"/>
          <w:szCs w:val="20"/>
        </w:rPr>
        <w:t xml:space="preserve">Upravičenec, ki v okviru ukrepa izvaja </w:t>
      </w:r>
      <w:r w:rsidRPr="00D906D1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naravovarstvene aktivnosti</w:t>
      </w:r>
      <w:r w:rsidRPr="00D906D1">
        <w:rPr>
          <w:rFonts w:asciiTheme="minorHAnsi" w:hAnsiTheme="minorHAnsi"/>
          <w:sz w:val="20"/>
          <w:szCs w:val="20"/>
        </w:rPr>
        <w:t xml:space="preserve"> na travinju, mora izpolnjevati vse osnovne zahteve in izpolnjevati splošne zahteve ter izvajati najmanj tri dodatne zahteve po lastni izbiri.</w:t>
      </w:r>
    </w:p>
    <w:p w:rsidR="008A2184" w:rsidRDefault="008A2184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>Pomembna novost ukrepa je, da kot pogoj upravičenosti</w:t>
      </w:r>
      <w:r w:rsidR="00D906D1">
        <w:rPr>
          <w:rFonts w:asciiTheme="minorHAnsi" w:hAnsiTheme="minorHAnsi"/>
          <w:sz w:val="20"/>
          <w:szCs w:val="20"/>
        </w:rPr>
        <w:t xml:space="preserve"> (vstopni pogoj)</w:t>
      </w:r>
      <w:r w:rsidRPr="008C183F">
        <w:rPr>
          <w:rFonts w:asciiTheme="minorHAnsi" w:hAnsiTheme="minorHAnsi"/>
          <w:sz w:val="20"/>
          <w:szCs w:val="20"/>
        </w:rPr>
        <w:t xml:space="preserve"> uvaja </w:t>
      </w:r>
      <w:r w:rsidR="00D906D1" w:rsidRPr="00D906D1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predhodno usposabljanje</w:t>
      </w:r>
      <w:r w:rsidR="00D906D1">
        <w:rPr>
          <w:rFonts w:asciiTheme="minorHAnsi" w:hAnsiTheme="minorHAnsi"/>
          <w:sz w:val="20"/>
          <w:szCs w:val="20"/>
        </w:rPr>
        <w:t xml:space="preserve"> in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načrt aktivnosti</w:t>
      </w:r>
      <w:r w:rsidRPr="008C183F">
        <w:rPr>
          <w:rFonts w:asciiTheme="minorHAnsi" w:hAnsiTheme="minorHAnsi"/>
          <w:sz w:val="20"/>
          <w:szCs w:val="20"/>
        </w:rPr>
        <w:t xml:space="preserve"> (ključni podatki o kmetijskem gospodarstvu, izbranih zahtevah, površinah, na katerih se bodo zahteve izvajale itd.), ki ga je potrebno imeti narejenega pred vstopom v ukrep. Namen tovrstnega načrta aktivnosti je seznanitev kmeta z namenom, smotrom kmetijsko-okoljski-podnebnih plačil ter vsemi zahtevami in obveznostmi, kar bi po naši presoji lahko prispevalo k zmanjšanju stopnje napake in posledičnih vračil iz naslova izvajanja tega ukrepa.</w:t>
      </w:r>
      <w:r w:rsidR="000256EE">
        <w:rPr>
          <w:rFonts w:asciiTheme="minorHAnsi" w:hAnsiTheme="minorHAnsi"/>
          <w:sz w:val="20"/>
          <w:szCs w:val="20"/>
        </w:rPr>
        <w:t xml:space="preserve"> Usposabljanja in priprava načrtov aktivnosti je predvidena v letu 2014.</w:t>
      </w:r>
    </w:p>
    <w:p w:rsidR="000256EE" w:rsidRDefault="00651BDC" w:rsidP="000256EE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Zaradi zamika reforme Skupne kmetijske politike se ta ukrep začne izvajati </w:t>
      </w:r>
      <w:r w:rsidRPr="00651BDC">
        <w:rPr>
          <w:rFonts w:asciiTheme="minorHAnsi" w:hAnsiTheme="minorHAnsi"/>
          <w:b/>
          <w:i/>
          <w:color w:val="1F497D" w:themeColor="text2"/>
          <w:sz w:val="20"/>
          <w:szCs w:val="20"/>
        </w:rPr>
        <w:t>s 1.1.2015</w:t>
      </w:r>
      <w:r>
        <w:rPr>
          <w:rFonts w:asciiTheme="minorHAnsi" w:hAnsiTheme="minorHAnsi"/>
          <w:sz w:val="20"/>
          <w:szCs w:val="20"/>
        </w:rPr>
        <w:t xml:space="preserve">. </w:t>
      </w:r>
      <w:r w:rsidR="000256EE">
        <w:rPr>
          <w:rFonts w:asciiTheme="minorHAnsi" w:hAnsiTheme="minorHAnsi"/>
          <w:sz w:val="20"/>
          <w:szCs w:val="20"/>
        </w:rPr>
        <w:t>Izvajanje kmetijsko-okoljskih plačil 2007–2013 se zato podaljša še v leto 2014.</w:t>
      </w:r>
    </w:p>
    <w:p w:rsidR="00D906D1" w:rsidRPr="008C183F" w:rsidRDefault="00D906D1" w:rsidP="00D906D1">
      <w:pPr>
        <w:pStyle w:val="Odstavekseznama"/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  <w:u w:val="single"/>
        </w:rPr>
        <w:t>30. člen: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  <w:t xml:space="preserve"> Ekološko kmetovanje</w:t>
      </w: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</w:pPr>
    </w:p>
    <w:p w:rsidR="00651BDC" w:rsidRDefault="008A2184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Ekološko kmetovanje (30. člen) je postal z obdobjem 2014–2020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 xml:space="preserve">samostojen </w:t>
      </w:r>
      <w:r w:rsidRPr="008C183F">
        <w:rPr>
          <w:rFonts w:asciiTheme="minorHAnsi" w:hAnsiTheme="minorHAnsi"/>
          <w:sz w:val="20"/>
          <w:szCs w:val="20"/>
        </w:rPr>
        <w:t xml:space="preserve">ukrep. </w:t>
      </w:r>
    </w:p>
    <w:p w:rsidR="00651BDC" w:rsidRDefault="007D66EA" w:rsidP="007D66EA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7D66EA">
        <w:rPr>
          <w:rFonts w:asciiTheme="minorHAnsi" w:hAnsiTheme="minorHAnsi"/>
          <w:sz w:val="20"/>
          <w:szCs w:val="20"/>
        </w:rPr>
        <w:t xml:space="preserve">V okviru ukrepa se bo spodbujalo </w:t>
      </w:r>
      <w:r w:rsidRPr="007D66EA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izvajanje</w:t>
      </w:r>
      <w:r w:rsidRPr="007D66EA">
        <w:rPr>
          <w:rFonts w:asciiTheme="minorHAnsi" w:hAnsiTheme="minorHAnsi"/>
          <w:sz w:val="20"/>
          <w:szCs w:val="20"/>
        </w:rPr>
        <w:t xml:space="preserve"> ekološkega kmetovanja kakor tudi </w:t>
      </w:r>
      <w:r w:rsidRPr="007D66EA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pre</w:t>
      </w:r>
      <w:r w:rsidRPr="00EC1D63">
        <w:rPr>
          <w:rFonts w:asciiTheme="minorHAnsi" w:hAnsiTheme="minorHAnsi"/>
          <w:b/>
          <w:i/>
          <w:color w:val="1F497D" w:themeColor="text2"/>
          <w:sz w:val="20"/>
          <w:szCs w:val="20"/>
        </w:rPr>
        <w:t>usmerjanje</w:t>
      </w:r>
      <w:r>
        <w:rPr>
          <w:rFonts w:asciiTheme="minorHAnsi" w:hAnsiTheme="minorHAnsi"/>
          <w:sz w:val="20"/>
          <w:szCs w:val="20"/>
        </w:rPr>
        <w:t xml:space="preserve"> v ekološko kmetovanje. </w:t>
      </w:r>
    </w:p>
    <w:p w:rsidR="007D66EA" w:rsidRPr="007D66EA" w:rsidRDefault="007D66EA" w:rsidP="007D66EA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7D66EA">
        <w:rPr>
          <w:rFonts w:asciiTheme="minorHAnsi" w:hAnsiTheme="minorHAnsi"/>
          <w:sz w:val="20"/>
          <w:szCs w:val="20"/>
        </w:rPr>
        <w:t xml:space="preserve">Za vstop v ukrep ekološko kmetovanje mora upravičenec izpolnjevati naslednje </w:t>
      </w:r>
      <w:r w:rsidRPr="007D66EA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 xml:space="preserve">pogoje </w:t>
      </w:r>
      <w:r w:rsidRPr="007D66EA">
        <w:rPr>
          <w:rFonts w:asciiTheme="minorHAnsi" w:hAnsiTheme="minorHAnsi"/>
          <w:sz w:val="20"/>
          <w:szCs w:val="20"/>
        </w:rPr>
        <w:t>upravičenosti:</w:t>
      </w:r>
    </w:p>
    <w:p w:rsidR="007D66EA" w:rsidRPr="007D66EA" w:rsidRDefault="007D66EA" w:rsidP="007D66EA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7D66EA">
        <w:rPr>
          <w:rFonts w:asciiTheme="minorHAnsi" w:hAnsiTheme="minorHAnsi"/>
          <w:sz w:val="20"/>
          <w:szCs w:val="20"/>
        </w:rPr>
        <w:t>upravičenec se mora pri pooblaščeni organizaciji za kontrolo in certificiranje ekološkega kmetovanja vključiti v kontrolo najkasneje do 31. 12. tekočega leta za naslednje leto;</w:t>
      </w:r>
    </w:p>
    <w:p w:rsidR="007D66EA" w:rsidRPr="007D66EA" w:rsidRDefault="007D66EA" w:rsidP="007D66EA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7D66EA">
        <w:rPr>
          <w:rFonts w:asciiTheme="minorHAnsi" w:hAnsiTheme="minorHAnsi"/>
          <w:sz w:val="20"/>
          <w:szCs w:val="20"/>
        </w:rPr>
        <w:t>kmetijsko gospodarstvo mora biti vpisano v register kmetijskih gospodarstev, v skladu s predpisom, ki ureja register kmetijskih gospodarstev;</w:t>
      </w:r>
    </w:p>
    <w:p w:rsidR="008A2184" w:rsidRDefault="007D66EA" w:rsidP="00651BDC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7D66EA">
        <w:rPr>
          <w:rFonts w:asciiTheme="minorHAnsi" w:hAnsiTheme="minorHAnsi"/>
          <w:sz w:val="20"/>
          <w:szCs w:val="20"/>
        </w:rPr>
        <w:t xml:space="preserve">pred vstopom v ukrep ekološko kmetovanje mora biti za kmetijsko gospodarstvo izdelan </w:t>
      </w:r>
      <w:r w:rsidRPr="000256EE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načrt aktivnosti</w:t>
      </w:r>
      <w:r w:rsidRPr="007D66EA">
        <w:rPr>
          <w:rFonts w:asciiTheme="minorHAnsi" w:hAnsiTheme="minorHAnsi"/>
          <w:sz w:val="20"/>
          <w:szCs w:val="20"/>
        </w:rPr>
        <w:t>, ki vključuje opis kmetijskega gospodarstva (usmeritev, način proizvodnje, številka GERK-PID-a, vrste rabe zemljišč, število hektarjev, število in vrsta živali ipd.).</w:t>
      </w:r>
      <w:r w:rsidR="008A2184" w:rsidRPr="007D66EA">
        <w:rPr>
          <w:rFonts w:asciiTheme="minorHAnsi" w:hAnsiTheme="minorHAnsi"/>
          <w:sz w:val="20"/>
          <w:szCs w:val="20"/>
        </w:rPr>
        <w:t xml:space="preserve">   </w:t>
      </w:r>
    </w:p>
    <w:p w:rsidR="000256EE" w:rsidRDefault="000256EE" w:rsidP="000256EE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Zaradi zamika reforme Skupne kmetijske politike se ta ukrep začne izvajati </w:t>
      </w:r>
      <w:r w:rsidRPr="00651BDC">
        <w:rPr>
          <w:rFonts w:asciiTheme="minorHAnsi" w:hAnsiTheme="minorHAnsi"/>
          <w:b/>
          <w:i/>
          <w:color w:val="1F497D" w:themeColor="text2"/>
          <w:sz w:val="20"/>
          <w:szCs w:val="20"/>
        </w:rPr>
        <w:t>s 1.1.2015</w:t>
      </w:r>
      <w:r>
        <w:rPr>
          <w:rFonts w:asciiTheme="minorHAnsi" w:hAnsiTheme="minorHAnsi"/>
          <w:sz w:val="20"/>
          <w:szCs w:val="20"/>
        </w:rPr>
        <w:t>. V letu 2014 se ekološko kmetovanje spodbuja v okviru kmetijsko-okoljskih plačil 2007–2013.</w:t>
      </w: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  <w:u w:val="single"/>
        </w:rPr>
        <w:t xml:space="preserve">32. člen: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  <w:t>Plačila območjem z naravnimi ali drugimi posebnimi omejitvami</w:t>
      </w:r>
    </w:p>
    <w:p w:rsidR="00B1432A" w:rsidRPr="008C183F" w:rsidRDefault="00B1432A" w:rsidP="00B1432A">
      <w:pPr>
        <w:pStyle w:val="Odstavekseznama"/>
        <w:rPr>
          <w:rFonts w:asciiTheme="minorHAnsi" w:hAnsiTheme="minorHAnsi"/>
          <w:sz w:val="20"/>
          <w:szCs w:val="20"/>
        </w:rPr>
      </w:pPr>
    </w:p>
    <w:p w:rsidR="000256EE" w:rsidRPr="000256EE" w:rsidRDefault="000256EE" w:rsidP="000256EE">
      <w:pPr>
        <w:pStyle w:val="Odstavekseznama"/>
        <w:numPr>
          <w:ilvl w:val="0"/>
          <w:numId w:val="42"/>
        </w:numPr>
        <w:rPr>
          <w:rFonts w:asciiTheme="minorHAnsi" w:hAnsiTheme="minorHAnsi"/>
          <w:sz w:val="20"/>
          <w:szCs w:val="20"/>
        </w:rPr>
      </w:pPr>
      <w:r w:rsidRPr="000256EE">
        <w:rPr>
          <w:rFonts w:asciiTheme="minorHAnsi" w:hAnsiTheme="minorHAnsi"/>
          <w:sz w:val="20"/>
          <w:szCs w:val="20"/>
        </w:rPr>
        <w:t xml:space="preserve">Zaradi zamika reforme Skupne kmetijske politike se ta ukrep začne izvajati s 1.1.2015. </w:t>
      </w:r>
      <w:r>
        <w:rPr>
          <w:rFonts w:asciiTheme="minorHAnsi" w:hAnsiTheme="minorHAnsi"/>
          <w:sz w:val="20"/>
          <w:szCs w:val="20"/>
        </w:rPr>
        <w:t>V letu 2014 nadaljujem</w:t>
      </w:r>
      <w:r w:rsidR="00EC1D63">
        <w:rPr>
          <w:rFonts w:asciiTheme="minorHAnsi" w:hAnsiTheme="minorHAnsi"/>
          <w:sz w:val="20"/>
          <w:szCs w:val="20"/>
        </w:rPr>
        <w:t>o</w:t>
      </w:r>
      <w:r>
        <w:rPr>
          <w:rFonts w:asciiTheme="minorHAnsi" w:hAnsiTheme="minorHAnsi"/>
          <w:sz w:val="20"/>
          <w:szCs w:val="20"/>
        </w:rPr>
        <w:t xml:space="preserve"> z izvajanjem obstoječega ukrepa.</w:t>
      </w:r>
    </w:p>
    <w:p w:rsidR="007D66EA" w:rsidRDefault="007D66EA" w:rsidP="007D66EA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7D66EA">
        <w:rPr>
          <w:rFonts w:asciiTheme="minorHAnsi" w:hAnsiTheme="minorHAnsi"/>
          <w:sz w:val="20"/>
          <w:szCs w:val="20"/>
        </w:rPr>
        <w:t xml:space="preserve">Višina izravnalnega plačila </w:t>
      </w:r>
      <w:r w:rsidR="000256EE">
        <w:rPr>
          <w:rFonts w:asciiTheme="minorHAnsi" w:hAnsiTheme="minorHAnsi"/>
          <w:sz w:val="20"/>
          <w:szCs w:val="20"/>
        </w:rPr>
        <w:t>bo z letom 2015</w:t>
      </w:r>
      <w:r>
        <w:rPr>
          <w:rFonts w:asciiTheme="minorHAnsi" w:hAnsiTheme="minorHAnsi"/>
          <w:sz w:val="20"/>
          <w:szCs w:val="20"/>
        </w:rPr>
        <w:t xml:space="preserve"> v celoti </w:t>
      </w:r>
      <w:r w:rsidRPr="007D66EA">
        <w:rPr>
          <w:rFonts w:asciiTheme="minorHAnsi" w:hAnsiTheme="minorHAnsi"/>
          <w:sz w:val="20"/>
          <w:szCs w:val="20"/>
        </w:rPr>
        <w:t xml:space="preserve">odvisna od števila točk v registru KMG v </w:t>
      </w:r>
      <w:r>
        <w:rPr>
          <w:rFonts w:asciiTheme="minorHAnsi" w:hAnsiTheme="minorHAnsi"/>
          <w:sz w:val="20"/>
          <w:szCs w:val="20"/>
        </w:rPr>
        <w:t>območjih z omejenimi možnostmi za kmetijsko dejavnost</w:t>
      </w:r>
      <w:r w:rsidRPr="007D66EA">
        <w:rPr>
          <w:rFonts w:asciiTheme="minorHAnsi" w:hAnsiTheme="minorHAnsi"/>
          <w:sz w:val="20"/>
          <w:szCs w:val="20"/>
        </w:rPr>
        <w:t>.</w:t>
      </w:r>
      <w:r>
        <w:rPr>
          <w:rFonts w:asciiTheme="minorHAnsi" w:hAnsiTheme="minorHAnsi"/>
          <w:sz w:val="20"/>
          <w:szCs w:val="20"/>
        </w:rPr>
        <w:t xml:space="preserve"> </w:t>
      </w:r>
    </w:p>
    <w:p w:rsidR="00E869FB" w:rsidRDefault="007D66EA" w:rsidP="00E869FB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Kar zadeva d</w:t>
      </w:r>
      <w:r w:rsidR="00E869FB">
        <w:rPr>
          <w:rFonts w:asciiTheme="minorHAnsi" w:hAnsiTheme="minorHAnsi"/>
          <w:sz w:val="20"/>
          <w:szCs w:val="20"/>
        </w:rPr>
        <w:t>lje časa trajajoč</w:t>
      </w:r>
      <w:r w:rsidR="00EC1D63">
        <w:rPr>
          <w:rFonts w:asciiTheme="minorHAnsi" w:hAnsiTheme="minorHAnsi"/>
          <w:sz w:val="20"/>
          <w:szCs w:val="20"/>
        </w:rPr>
        <w:t>o</w:t>
      </w:r>
      <w:r w:rsidR="00E869FB">
        <w:rPr>
          <w:rFonts w:asciiTheme="minorHAnsi" w:hAnsiTheme="minorHAnsi"/>
          <w:sz w:val="20"/>
          <w:szCs w:val="20"/>
        </w:rPr>
        <w:t xml:space="preserve"> reform</w:t>
      </w:r>
      <w:r w:rsidR="00EC1D63">
        <w:rPr>
          <w:rFonts w:asciiTheme="minorHAnsi" w:hAnsiTheme="minorHAnsi"/>
          <w:sz w:val="20"/>
          <w:szCs w:val="20"/>
        </w:rPr>
        <w:t>o</w:t>
      </w:r>
      <w:r w:rsidR="00E869FB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razmejitev</w:t>
      </w:r>
      <w:r w:rsidR="00E869FB">
        <w:rPr>
          <w:rFonts w:asciiTheme="minorHAnsi" w:hAnsiTheme="minorHAnsi"/>
          <w:sz w:val="20"/>
          <w:szCs w:val="20"/>
        </w:rPr>
        <w:t xml:space="preserve"> </w:t>
      </w:r>
      <w:r w:rsidR="00E869FB" w:rsidRPr="00E869FB">
        <w:rPr>
          <w:rFonts w:asciiTheme="minorHAnsi" w:hAnsiTheme="minorHAnsi"/>
          <w:sz w:val="20"/>
          <w:szCs w:val="20"/>
        </w:rPr>
        <w:t>območ</w:t>
      </w:r>
      <w:r w:rsidR="00E869FB">
        <w:rPr>
          <w:rFonts w:asciiTheme="minorHAnsi" w:hAnsiTheme="minorHAnsi"/>
          <w:sz w:val="20"/>
          <w:szCs w:val="20"/>
        </w:rPr>
        <w:t>i</w:t>
      </w:r>
      <w:r w:rsidR="00E869FB" w:rsidRPr="00E869FB">
        <w:rPr>
          <w:rFonts w:asciiTheme="minorHAnsi" w:hAnsiTheme="minorHAnsi"/>
          <w:sz w:val="20"/>
          <w:szCs w:val="20"/>
        </w:rPr>
        <w:t>j</w:t>
      </w:r>
      <w:r>
        <w:rPr>
          <w:rFonts w:asciiTheme="minorHAnsi" w:hAnsiTheme="minorHAnsi"/>
          <w:sz w:val="20"/>
          <w:szCs w:val="20"/>
        </w:rPr>
        <w:t xml:space="preserve"> z naravnimi omejitvami, ki </w:t>
      </w:r>
      <w:r w:rsidR="00E869FB" w:rsidRPr="00E869FB">
        <w:rPr>
          <w:rFonts w:asciiTheme="minorHAnsi" w:hAnsiTheme="minorHAnsi"/>
          <w:sz w:val="20"/>
          <w:szCs w:val="20"/>
        </w:rPr>
        <w:t>niso gorska</w:t>
      </w:r>
      <w:r>
        <w:rPr>
          <w:rFonts w:asciiTheme="minorHAnsi" w:hAnsiTheme="minorHAnsi"/>
          <w:sz w:val="20"/>
          <w:szCs w:val="20"/>
        </w:rPr>
        <w:t xml:space="preserve">, </w:t>
      </w:r>
      <w:r w:rsidR="00E869FB" w:rsidRPr="00E869FB">
        <w:rPr>
          <w:rFonts w:asciiTheme="minorHAnsi" w:hAnsiTheme="minorHAnsi"/>
          <w:sz w:val="20"/>
          <w:szCs w:val="20"/>
        </w:rPr>
        <w:t>je bil</w:t>
      </w:r>
      <w:r w:rsidR="00E869FB">
        <w:rPr>
          <w:rFonts w:asciiTheme="minorHAnsi" w:hAnsiTheme="minorHAnsi"/>
          <w:sz w:val="20"/>
          <w:szCs w:val="20"/>
        </w:rPr>
        <w:t>a</w:t>
      </w:r>
      <w:r w:rsidR="00E869FB" w:rsidRPr="00E869FB">
        <w:rPr>
          <w:rFonts w:asciiTheme="minorHAnsi" w:hAnsiTheme="minorHAnsi"/>
          <w:sz w:val="20"/>
          <w:szCs w:val="20"/>
        </w:rPr>
        <w:t xml:space="preserve"> </w:t>
      </w:r>
      <w:r w:rsidR="00E869FB">
        <w:rPr>
          <w:rFonts w:asciiTheme="minorHAnsi" w:hAnsiTheme="minorHAnsi"/>
          <w:sz w:val="20"/>
          <w:szCs w:val="20"/>
        </w:rPr>
        <w:t>z najnovejšim političn</w:t>
      </w:r>
      <w:r w:rsidR="00ED0102">
        <w:rPr>
          <w:rFonts w:asciiTheme="minorHAnsi" w:hAnsiTheme="minorHAnsi"/>
          <w:sz w:val="20"/>
          <w:szCs w:val="20"/>
        </w:rPr>
        <w:t>im dogovorom na Svetu kmetijskih</w:t>
      </w:r>
      <w:r w:rsidR="00E869FB">
        <w:rPr>
          <w:rFonts w:asciiTheme="minorHAnsi" w:hAnsiTheme="minorHAnsi"/>
          <w:sz w:val="20"/>
          <w:szCs w:val="20"/>
        </w:rPr>
        <w:t xml:space="preserve"> ministrov 24. </w:t>
      </w:r>
      <w:r w:rsidR="00ED0102">
        <w:rPr>
          <w:rFonts w:asciiTheme="minorHAnsi" w:hAnsiTheme="minorHAnsi"/>
          <w:sz w:val="20"/>
          <w:szCs w:val="20"/>
        </w:rPr>
        <w:t>i</w:t>
      </w:r>
      <w:r w:rsidR="00E869FB">
        <w:rPr>
          <w:rFonts w:asciiTheme="minorHAnsi" w:hAnsiTheme="minorHAnsi"/>
          <w:sz w:val="20"/>
          <w:szCs w:val="20"/>
        </w:rPr>
        <w:t xml:space="preserve">n 25.6.2013, </w:t>
      </w:r>
      <w:r>
        <w:rPr>
          <w:rFonts w:asciiTheme="minorHAnsi" w:hAnsiTheme="minorHAnsi"/>
          <w:sz w:val="20"/>
          <w:szCs w:val="20"/>
        </w:rPr>
        <w:t xml:space="preserve">državam članicam dana možnost, da razmejitev zaključijo najkasneje do </w:t>
      </w:r>
      <w:r w:rsidR="00E869FB">
        <w:rPr>
          <w:rFonts w:asciiTheme="minorHAnsi" w:hAnsiTheme="minorHAnsi"/>
          <w:sz w:val="20"/>
          <w:szCs w:val="20"/>
        </w:rPr>
        <w:t xml:space="preserve">leta 2018.  </w:t>
      </w:r>
    </w:p>
    <w:p w:rsidR="00651BDC" w:rsidRDefault="00651BDC" w:rsidP="00651BDC">
      <w:pPr>
        <w:pStyle w:val="Odstavekseznama"/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</w:p>
    <w:p w:rsidR="00B1432A" w:rsidRPr="008C183F" w:rsidRDefault="00E869FB" w:rsidP="00B1432A">
      <w:pPr>
        <w:pStyle w:val="Odstavekseznama"/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  <w:u w:val="single"/>
        </w:rPr>
        <w:t>34. člen: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  <w:t xml:space="preserve"> Dobro počutje živali</w:t>
      </w: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</w:p>
    <w:p w:rsidR="008A2184" w:rsidRPr="008C183F" w:rsidRDefault="008A2184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V RS se uvaja popolnoma nov ukrep »Dobro počutje živali« (34. člen). Namen ukrepa je spodbujanje rejcev k prostovoljnemu prevzemanju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nadstandardnih zahtev</w:t>
      </w:r>
      <w:r w:rsidRPr="008C183F">
        <w:rPr>
          <w:rFonts w:asciiTheme="minorHAnsi" w:hAnsiTheme="minorHAnsi"/>
          <w:sz w:val="20"/>
          <w:szCs w:val="20"/>
        </w:rPr>
        <w:t xml:space="preserve"> pri zagotavljanju dobrega počutja živali (pri reji krav molznic in prašičev). </w:t>
      </w:r>
    </w:p>
    <w:p w:rsidR="00B1432A" w:rsidRDefault="00B1432A" w:rsidP="00B1432A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:rsidR="00702A04" w:rsidRPr="008C183F" w:rsidRDefault="00702A04" w:rsidP="00B1432A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</w:pPr>
      <w:r w:rsidRPr="008C183F">
        <w:rPr>
          <w:rFonts w:asciiTheme="minorHAnsi" w:hAnsiTheme="minorHAnsi"/>
          <w:b/>
          <w:color w:val="365F91" w:themeColor="accent1" w:themeShade="BF"/>
          <w:sz w:val="20"/>
          <w:szCs w:val="20"/>
          <w:u w:val="single"/>
        </w:rPr>
        <w:t>36. člen: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  <w:t xml:space="preserve"> Sodelovanje</w:t>
      </w: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</w:pPr>
    </w:p>
    <w:p w:rsidR="008A2184" w:rsidRPr="008C183F" w:rsidRDefault="008A2184" w:rsidP="008A2184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Uvaja se popolnoma nov ukrep »Sodelovanje« (36. člen). To je tudi povsem nov ukrep na EU ravni. Ta ukrep podpira raznovrstne oblike sodelovanja, s katerimi bo akterjem na podeželskih območjih omogočeno lažje premagovanje ekonomskih, okoljskih in drugih omejitev, s katerimi se ti soočajo zaradi razdrobljenosti. Sodelovanje, ki bo podprto v okviru PRP 2014–2020, zajema: </w:t>
      </w:r>
    </w:p>
    <w:p w:rsidR="008A2184" w:rsidRPr="008C183F" w:rsidRDefault="008A2184" w:rsidP="008A2184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pilotne projekte</w:t>
      </w:r>
      <w:r w:rsidRPr="008C183F">
        <w:rPr>
          <w:rFonts w:asciiTheme="minorHAnsi" w:hAnsiTheme="minorHAnsi"/>
          <w:sz w:val="20"/>
          <w:szCs w:val="20"/>
        </w:rPr>
        <w:t xml:space="preserve">, ki so pomembno orodje za preizkušanje tržne uporabnosti tehnologij, tehnik, praks v različnih okoliščinah ter po potrebi za njihovo prilagoditev, </w:t>
      </w:r>
    </w:p>
    <w:p w:rsidR="008A2184" w:rsidRPr="008C183F" w:rsidRDefault="008A2184" w:rsidP="008A2184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razvoj novih proizvodov, praks, postopkov in tehnologij</w:t>
      </w:r>
      <w:r w:rsidRPr="008C183F">
        <w:rPr>
          <w:rFonts w:asciiTheme="minorHAnsi" w:hAnsiTheme="minorHAnsi"/>
          <w:sz w:val="20"/>
          <w:szCs w:val="20"/>
        </w:rPr>
        <w:t xml:space="preserve"> v kmetijskem, živilskem in gozdarskem sektorju, </w:t>
      </w:r>
    </w:p>
    <w:p w:rsidR="008A2184" w:rsidRPr="008C183F" w:rsidRDefault="008A2184" w:rsidP="008A2184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horizontalno in vertikalno sodelovanje</w:t>
      </w:r>
      <w:r w:rsidRPr="008C183F">
        <w:rPr>
          <w:rFonts w:asciiTheme="minorHAnsi" w:hAnsiTheme="minorHAnsi"/>
          <w:sz w:val="20"/>
          <w:szCs w:val="20"/>
        </w:rPr>
        <w:t xml:space="preserve"> med udeleženci v dobavni verigi, </w:t>
      </w:r>
    </w:p>
    <w:p w:rsidR="008A2184" w:rsidRPr="008C183F" w:rsidRDefault="008A2184" w:rsidP="008A2184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promocijske dejavnosti</w:t>
      </w:r>
      <w:r w:rsidRPr="008C183F">
        <w:rPr>
          <w:rFonts w:asciiTheme="minorHAnsi" w:hAnsiTheme="minorHAnsi"/>
          <w:sz w:val="20"/>
          <w:szCs w:val="20"/>
        </w:rPr>
        <w:t xml:space="preserve"> na lokalni ravni, ki so povezane z razvojem kratkih dobavnih verig in lokalnih trgov ter </w:t>
      </w:r>
    </w:p>
    <w:p w:rsidR="008A2184" w:rsidRPr="008C183F" w:rsidRDefault="008A2184" w:rsidP="008A2184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skupinske pristope k okoljskim projektom</w:t>
      </w:r>
      <w:r w:rsidRPr="008C183F">
        <w:rPr>
          <w:rFonts w:asciiTheme="minorHAnsi" w:hAnsiTheme="minorHAnsi"/>
          <w:sz w:val="20"/>
          <w:szCs w:val="20"/>
        </w:rPr>
        <w:t xml:space="preserve"> in sedanjim okoljskim praksam.</w:t>
      </w:r>
    </w:p>
    <w:p w:rsidR="008A2184" w:rsidRPr="008C183F" w:rsidRDefault="008A2184" w:rsidP="008A2184">
      <w:pPr>
        <w:pStyle w:val="AStelo"/>
        <w:numPr>
          <w:ilvl w:val="0"/>
          <w:numId w:val="42"/>
        </w:numPr>
        <w:spacing w:before="100" w:beforeAutospacing="1" w:after="100" w:afterAutospacing="1"/>
        <w:ind w:hanging="357"/>
      </w:pPr>
      <w:r w:rsidRPr="008C183F">
        <w:t xml:space="preserve">Sodelovanje na omenjenih področjih se lahko zagotovi v različnih oblikah, ki vključujejo vsaj dva subjekta, in zlasti: </w:t>
      </w:r>
    </w:p>
    <w:p w:rsidR="008A2184" w:rsidRPr="008C183F" w:rsidRDefault="008A2184" w:rsidP="008A2184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 xml:space="preserve">pristope sodelovanja </w:t>
      </w:r>
      <w:r w:rsidRPr="008C183F">
        <w:rPr>
          <w:rFonts w:asciiTheme="minorHAnsi" w:hAnsiTheme="minorHAnsi"/>
          <w:sz w:val="20"/>
          <w:szCs w:val="20"/>
        </w:rPr>
        <w:t xml:space="preserve">med različnimi subjekti na področju kmetijstva, prehranske verige in gozdarstva ter med drugimi subjekti, ki prispevajo k doseganju ciljev in prednostnih nalog v okviru politike razvoja podeželja, vključno z medpanožnimi organizacijami; </w:t>
      </w:r>
    </w:p>
    <w:p w:rsidR="008A2184" w:rsidRPr="008C183F" w:rsidRDefault="008A2184" w:rsidP="008A2184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vzpostavljanje grozdov in mrež</w:t>
      </w:r>
      <w:r w:rsidRPr="008C183F">
        <w:rPr>
          <w:rFonts w:asciiTheme="minorHAnsi" w:hAnsiTheme="minorHAnsi"/>
          <w:sz w:val="20"/>
          <w:szCs w:val="20"/>
        </w:rPr>
        <w:t>, ki so posebno pomembni za izmenjavo strokovnega znanja in izkušenj ter razvoj novega in specializiranega strokovnega znanja in izkušenj, storitev in proizvodov;</w:t>
      </w:r>
    </w:p>
    <w:p w:rsidR="008A2184" w:rsidRPr="008C183F" w:rsidRDefault="008A2184" w:rsidP="008A2184">
      <w:pPr>
        <w:pStyle w:val="Odstavekseznama"/>
        <w:numPr>
          <w:ilvl w:val="1"/>
          <w:numId w:val="42"/>
        </w:numPr>
        <w:spacing w:before="100" w:beforeAutospacing="1" w:after="100" w:afterAutospacing="1" w:line="240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ustanovitev in delovanje operativnih skupin E</w:t>
      </w:r>
      <w:r w:rsidR="008C183F"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vropskega inovacijskega partnerstva (EIP)</w:t>
      </w:r>
      <w:r w:rsidRPr="008C183F">
        <w:rPr>
          <w:rFonts w:asciiTheme="minorHAnsi" w:hAnsiTheme="minorHAnsi"/>
          <w:sz w:val="20"/>
          <w:szCs w:val="20"/>
        </w:rPr>
        <w:t xml:space="preserve"> na področju kmetijske produktivnosti in trajnosti. Operativne skupine EIP ustanovijo zainteresirani subjekti, kot so kmetje, raziskovalci, svetovalci, podjetja, nevladne organizacije in drugi akterji, ki delujejo v kmetijskem in živilskem sektorju, z namenom zapolnjevanja vrzeli med raziskavami in kmetijsko prakso preko spodbujanja hitrejše in širše uporabe inovativnih rešitev – inovacij – v praksi.</w:t>
      </w: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</w:pP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  <w:t>Ukrepi LEADER</w:t>
      </w:r>
    </w:p>
    <w:p w:rsidR="00B1432A" w:rsidRPr="008C183F" w:rsidRDefault="00B1432A" w:rsidP="00B1432A">
      <w:pPr>
        <w:pStyle w:val="Odstavekseznama"/>
        <w:spacing w:before="100" w:beforeAutospacing="1" w:after="100" w:afterAutospacing="1" w:line="240" w:lineRule="auto"/>
        <w:ind w:left="0"/>
        <w:jc w:val="both"/>
        <w:rPr>
          <w:rFonts w:asciiTheme="minorHAnsi" w:hAnsiTheme="minorHAnsi"/>
          <w:b/>
          <w:i/>
          <w:color w:val="365F91" w:themeColor="accent1" w:themeShade="BF"/>
          <w:sz w:val="20"/>
          <w:szCs w:val="20"/>
          <w:u w:val="single"/>
        </w:rPr>
      </w:pPr>
    </w:p>
    <w:p w:rsidR="008A2184" w:rsidRPr="008C183F" w:rsidRDefault="008A2184" w:rsidP="00B1432A">
      <w:pPr>
        <w:pStyle w:val="Odstavekseznama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0"/>
          <w:szCs w:val="20"/>
        </w:rPr>
      </w:pPr>
      <w:r w:rsidRPr="008C183F">
        <w:rPr>
          <w:rFonts w:asciiTheme="minorHAnsi" w:hAnsiTheme="minorHAnsi"/>
          <w:sz w:val="20"/>
          <w:szCs w:val="20"/>
        </w:rPr>
        <w:t xml:space="preserve">Ključna novost ukrepov LEADER je večji poudarek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koncentraciji</w:t>
      </w:r>
      <w:r w:rsidRPr="008C183F">
        <w:rPr>
          <w:rFonts w:asciiTheme="minorHAnsi" w:hAnsiTheme="minorHAnsi"/>
          <w:sz w:val="20"/>
          <w:szCs w:val="20"/>
        </w:rPr>
        <w:t xml:space="preserve"> oziroma </w:t>
      </w:r>
      <w:r w:rsidRPr="008C183F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tematskemu osredotočenju sredstev</w:t>
      </w:r>
      <w:r w:rsidRPr="008C183F">
        <w:rPr>
          <w:rFonts w:asciiTheme="minorHAnsi" w:hAnsiTheme="minorHAnsi"/>
          <w:sz w:val="20"/>
          <w:szCs w:val="20"/>
        </w:rPr>
        <w:t xml:space="preserve"> (v okviru lokalne razvojne strategije naj bi se opredelili največ dve ključni tematski področji, ki naj bi jima sledili tudi projekti) ter večji naravnanosti v doseganje jasnih rezultatov, ki morajo izkazovati trajnost tudi po izteku podpor.  </w:t>
      </w:r>
    </w:p>
    <w:p w:rsidR="008A2184" w:rsidRPr="008C183F" w:rsidRDefault="008A2184" w:rsidP="00CC4505">
      <w:pPr>
        <w:spacing w:after="120" w:line="240" w:lineRule="auto"/>
        <w:jc w:val="both"/>
        <w:rPr>
          <w:rFonts w:asciiTheme="minorHAnsi" w:eastAsia="Calibri" w:hAnsiTheme="minorHAnsi"/>
          <w:b/>
          <w:szCs w:val="20"/>
          <w:lang w:val="sl-SI"/>
        </w:rPr>
      </w:pPr>
    </w:p>
    <w:p w:rsidR="008A2184" w:rsidRPr="008C183F" w:rsidRDefault="008A2184" w:rsidP="00CC4505">
      <w:pPr>
        <w:spacing w:after="120" w:line="240" w:lineRule="auto"/>
        <w:jc w:val="both"/>
        <w:rPr>
          <w:rFonts w:asciiTheme="minorHAnsi" w:eastAsia="Calibri" w:hAnsiTheme="minorHAnsi"/>
          <w:b/>
          <w:szCs w:val="20"/>
          <w:lang w:val="sl-SI"/>
        </w:rPr>
      </w:pPr>
    </w:p>
    <w:sectPr w:rsidR="008A2184" w:rsidRPr="008C183F" w:rsidSect="00783310">
      <w:headerReference w:type="default" r:id="rId8"/>
      <w:foot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37F" w:rsidRDefault="003C537F">
      <w:r>
        <w:separator/>
      </w:r>
    </w:p>
  </w:endnote>
  <w:endnote w:type="continuationSeparator" w:id="0">
    <w:p w:rsidR="003C537F" w:rsidRDefault="003C5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735947AD-F600-4564-ADF0-DF29B38C9E15}"/>
    <w:embedBold r:id="rId2" w:fontKey="{E1D091A1-3420-4D83-A64D-8F997845F70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F6FE4AD3-B68C-44EE-AB7F-EC85A2C41A45}"/>
    <w:embedBold r:id="rId4" w:fontKey="{B2CB5F73-2CA9-4196-92E6-28742769E4E7}"/>
    <w:embedItalic r:id="rId5" w:fontKey="{3E329DB4-62FB-41F6-88B8-3740AF73DF7C}"/>
    <w:embedBoldItalic r:id="rId6" w:fontKey="{7AEEF41C-DDC2-48A9-97A5-BC2F80345D90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2466A1E4-40D2-43BC-9BC5-F86518AF72E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E9251B53-09F1-4486-8408-8B76B3FE0860}"/>
  </w:font>
  <w:font w:name="Republika">
    <w:altName w:val="Arial Narrow"/>
    <w:charset w:val="EE"/>
    <w:family w:val="auto"/>
    <w:pitch w:val="variable"/>
    <w:sig w:usb0="00000001" w:usb1="4000205B" w:usb2="00000000" w:usb3="00000000" w:csb0="00000093" w:csb1="00000000"/>
    <w:embedRegular r:id="rId9" w:fontKey="{EC83C3CE-9F9B-418B-A2A7-94908D31EE5D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10" w:fontKey="{AE3DE524-D53E-4B8A-BDB8-AADC6F878B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505" w:rsidRPr="00CC4505" w:rsidRDefault="00CC4505" w:rsidP="0079207D">
    <w:pPr>
      <w:pStyle w:val="Noga"/>
      <w:jc w:val="right"/>
      <w:rPr>
        <w:rFonts w:ascii="Cambria" w:hAnsi="Cambria"/>
        <w:sz w:val="18"/>
        <w:szCs w:val="18"/>
      </w:rPr>
    </w:pPr>
    <w:r w:rsidRPr="00CC4505">
      <w:rPr>
        <w:rFonts w:ascii="Cambria" w:hAnsi="Cambria"/>
        <w:b/>
        <w:sz w:val="18"/>
        <w:szCs w:val="18"/>
      </w:rPr>
      <w:fldChar w:fldCharType="begin"/>
    </w:r>
    <w:r w:rsidRPr="00CC4505">
      <w:rPr>
        <w:rFonts w:ascii="Cambria" w:hAnsi="Cambria"/>
        <w:b/>
        <w:sz w:val="18"/>
        <w:szCs w:val="18"/>
      </w:rPr>
      <w:instrText>PAGE</w:instrText>
    </w:r>
    <w:r w:rsidRPr="00CC4505">
      <w:rPr>
        <w:rFonts w:ascii="Cambria" w:hAnsi="Cambria"/>
        <w:b/>
        <w:sz w:val="18"/>
        <w:szCs w:val="18"/>
      </w:rPr>
      <w:fldChar w:fldCharType="separate"/>
    </w:r>
    <w:r w:rsidR="0047518F">
      <w:rPr>
        <w:rFonts w:ascii="Cambria" w:hAnsi="Cambria"/>
        <w:b/>
        <w:noProof/>
        <w:sz w:val="18"/>
        <w:szCs w:val="18"/>
      </w:rPr>
      <w:t>5</w:t>
    </w:r>
    <w:r w:rsidRPr="00CC4505">
      <w:rPr>
        <w:rFonts w:ascii="Cambria" w:hAnsi="Cambria"/>
        <w:b/>
        <w:sz w:val="18"/>
        <w:szCs w:val="18"/>
      </w:rPr>
      <w:fldChar w:fldCharType="end"/>
    </w:r>
    <w:r w:rsidR="00ED0102">
      <w:rPr>
        <w:rFonts w:ascii="Cambria" w:hAnsi="Cambria"/>
        <w:b/>
        <w:sz w:val="18"/>
        <w:szCs w:val="18"/>
      </w:rPr>
      <w:t>/</w:t>
    </w:r>
    <w:r w:rsidRPr="00CC4505">
      <w:rPr>
        <w:rFonts w:ascii="Cambria" w:hAnsi="Cambria"/>
        <w:b/>
        <w:sz w:val="18"/>
        <w:szCs w:val="18"/>
      </w:rPr>
      <w:fldChar w:fldCharType="begin"/>
    </w:r>
    <w:r w:rsidRPr="00CC4505">
      <w:rPr>
        <w:rFonts w:ascii="Cambria" w:hAnsi="Cambria"/>
        <w:b/>
        <w:sz w:val="18"/>
        <w:szCs w:val="18"/>
      </w:rPr>
      <w:instrText>NUMPAGES</w:instrText>
    </w:r>
    <w:r w:rsidRPr="00CC4505">
      <w:rPr>
        <w:rFonts w:ascii="Cambria" w:hAnsi="Cambria"/>
        <w:b/>
        <w:sz w:val="18"/>
        <w:szCs w:val="18"/>
      </w:rPr>
      <w:fldChar w:fldCharType="separate"/>
    </w:r>
    <w:r w:rsidR="0047518F">
      <w:rPr>
        <w:rFonts w:ascii="Cambria" w:hAnsi="Cambria"/>
        <w:b/>
        <w:noProof/>
        <w:sz w:val="18"/>
        <w:szCs w:val="18"/>
      </w:rPr>
      <w:t>5</w:t>
    </w:r>
    <w:r w:rsidRPr="00CC4505">
      <w:rPr>
        <w:rFonts w:ascii="Cambria" w:hAnsi="Cambria"/>
        <w:b/>
        <w:sz w:val="18"/>
        <w:szCs w:val="18"/>
      </w:rPr>
      <w:fldChar w:fldCharType="end"/>
    </w:r>
  </w:p>
  <w:p w:rsidR="00CC4505" w:rsidRDefault="00CC450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37F" w:rsidRDefault="003C537F">
      <w:r>
        <w:separator/>
      </w:r>
    </w:p>
  </w:footnote>
  <w:footnote w:type="continuationSeparator" w:id="0">
    <w:p w:rsidR="003C537F" w:rsidRDefault="003C53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505" w:rsidRPr="008C183F" w:rsidRDefault="00CC4505" w:rsidP="007D75CF">
    <w:pPr>
      <w:pStyle w:val="Glava"/>
      <w:spacing w:line="240" w:lineRule="exact"/>
      <w:rPr>
        <w:rFonts w:ascii="Republika" w:hAnsi="Republika"/>
        <w:sz w:val="16"/>
        <w:lang w:val="sl-SI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C4505" w:rsidRPr="008F3500">
      <w:trPr>
        <w:cantSplit/>
        <w:trHeight w:hRule="exact" w:val="847"/>
      </w:trPr>
      <w:tc>
        <w:tcPr>
          <w:tcW w:w="567" w:type="dxa"/>
        </w:tcPr>
        <w:p w:rsidR="00CC4505" w:rsidRPr="002E1E66" w:rsidRDefault="00CC4505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2E1E66">
            <w:rPr>
              <w:rFonts w:ascii="Republika" w:hAnsi="Republika" w:cs="Republika"/>
              <w:sz w:val="60"/>
              <w:szCs w:val="60"/>
              <w:lang w:val="sl-SI" w:eastAsia="sl-SI"/>
            </w:rPr>
            <w:t></w:t>
          </w: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C4505" w:rsidRPr="006D42D9" w:rsidRDefault="00CC450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CC4505" w:rsidRPr="008F3500" w:rsidRDefault="003B3527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4149725</wp:posOffset>
          </wp:positionH>
          <wp:positionV relativeFrom="paragraph">
            <wp:posOffset>-36195</wp:posOffset>
          </wp:positionV>
          <wp:extent cx="607695" cy="414020"/>
          <wp:effectExtent l="19050" t="0" r="1905" b="0"/>
          <wp:wrapSquare wrapText="bothSides"/>
          <wp:docPr id="10" name="Slika 10" descr="Enobarvna reprodukc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nobarvna reprodukcija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695" cy="414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4775835</wp:posOffset>
          </wp:positionH>
          <wp:positionV relativeFrom="paragraph">
            <wp:posOffset>-36195</wp:posOffset>
          </wp:positionV>
          <wp:extent cx="610235" cy="414020"/>
          <wp:effectExtent l="19050" t="0" r="0" b="0"/>
          <wp:wrapSquare wrapText="bothSides"/>
          <wp:docPr id="12" name="Slika 12" descr="EKSRP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KSRP_C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414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7518F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C4505" w:rsidRPr="008F3500">
      <w:rPr>
        <w:rFonts w:ascii="Republika" w:hAnsi="Republika"/>
        <w:lang w:val="sl-SI"/>
      </w:rPr>
      <w:t>REPUBLIKA SLOVENIJA</w:t>
    </w:r>
  </w:p>
  <w:p w:rsidR="00CC4505" w:rsidRPr="008F3500" w:rsidRDefault="00CC45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 IN OKOLJE</w:t>
    </w:r>
  </w:p>
  <w:p w:rsidR="00CC4505" w:rsidRDefault="00CC4505" w:rsidP="000029DA">
    <w:pPr>
      <w:autoSpaceDE w:val="0"/>
      <w:autoSpaceDN w:val="0"/>
      <w:adjustRightInd w:val="0"/>
      <w:spacing w:line="240" w:lineRule="auto"/>
      <w:rPr>
        <w:rFonts w:cs="Arial"/>
        <w:i/>
        <w:iCs/>
        <w:color w:val="000000"/>
        <w:sz w:val="16"/>
        <w:szCs w:val="18"/>
        <w:lang w:val="sl-SI" w:eastAsia="sl-SI"/>
      </w:rPr>
    </w:pPr>
    <w:r>
      <w:rPr>
        <w:rFonts w:ascii="Republika" w:hAnsi="Republika"/>
        <w:caps/>
        <w:lang w:val="sl-SI"/>
      </w:rPr>
      <w:t xml:space="preserve">Direktorat za kmetijstvo           </w:t>
    </w:r>
    <w:r>
      <w:rPr>
        <w:rFonts w:ascii="Republika" w:hAnsi="Republika"/>
        <w:caps/>
        <w:lang w:val="sl-SI"/>
      </w:rPr>
      <w:tab/>
    </w:r>
    <w:r>
      <w:rPr>
        <w:rFonts w:ascii="Republika" w:hAnsi="Republika"/>
        <w:caps/>
        <w:lang w:val="sl-SI"/>
      </w:rPr>
      <w:tab/>
    </w:r>
    <w:r>
      <w:rPr>
        <w:rFonts w:ascii="Republika" w:hAnsi="Republika"/>
        <w:caps/>
        <w:lang w:val="sl-SI"/>
      </w:rPr>
      <w:tab/>
      <w:t xml:space="preserve">    </w:t>
    </w:r>
    <w:r w:rsidRPr="00FA530D">
      <w:rPr>
        <w:rFonts w:cs="Arial"/>
        <w:i/>
        <w:iCs/>
        <w:color w:val="000000"/>
        <w:sz w:val="16"/>
        <w:szCs w:val="18"/>
        <w:lang w:val="sl-SI" w:eastAsia="sl-SI"/>
      </w:rPr>
      <w:t xml:space="preserve">»Evropski kmetijski sklad za razvoj podeželja: </w:t>
    </w:r>
  </w:p>
  <w:p w:rsidR="00CC4505" w:rsidRPr="00FA530D" w:rsidRDefault="00CC4505" w:rsidP="000029D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 w:eastAsia="sl-SI"/>
      </w:rPr>
    </w:pPr>
    <w:r>
      <w:rPr>
        <w:rFonts w:ascii="Republika" w:hAnsi="Republika"/>
        <w:lang w:val="sl-SI"/>
      </w:rPr>
      <w:t>Sektor za podeželje</w:t>
    </w:r>
    <w:r>
      <w:rPr>
        <w:lang w:val="sl-SI" w:eastAsia="sl-SI"/>
      </w:rPr>
      <w:t xml:space="preserve">              </w:t>
    </w:r>
    <w:r>
      <w:rPr>
        <w:lang w:val="sl-SI" w:eastAsia="sl-SI"/>
      </w:rPr>
      <w:tab/>
    </w:r>
    <w:r>
      <w:rPr>
        <w:lang w:val="sl-SI" w:eastAsia="sl-SI"/>
      </w:rPr>
      <w:tab/>
      <w:t xml:space="preserve">           </w:t>
    </w:r>
    <w:r w:rsidRPr="000029DA">
      <w:rPr>
        <w:rFonts w:cs="Arial"/>
        <w:i/>
        <w:iCs/>
        <w:color w:val="000000"/>
        <w:sz w:val="16"/>
        <w:szCs w:val="18"/>
        <w:lang w:val="sl-SI" w:eastAsia="sl-SI"/>
      </w:rPr>
      <w:t>Evropa investira v podeželje«</w:t>
    </w:r>
  </w:p>
  <w:p w:rsidR="00CC4505" w:rsidRPr="008F3500" w:rsidRDefault="00CC4505" w:rsidP="005B1731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01 478 91 28</w:t>
    </w:r>
  </w:p>
  <w:p w:rsidR="00CC4505" w:rsidRPr="008F3500" w:rsidRDefault="00CC4505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01 478 90 21</w:t>
    </w:r>
    <w:r w:rsidRPr="008F3500">
      <w:rPr>
        <w:rFonts w:cs="Arial"/>
        <w:sz w:val="16"/>
        <w:lang w:val="sl-SI"/>
      </w:rPr>
      <w:t xml:space="preserve"> </w:t>
    </w:r>
  </w:p>
  <w:p w:rsidR="00CC4505" w:rsidRPr="008F3500" w:rsidRDefault="00CC450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gp.mko@gov.si</w:t>
    </w:r>
  </w:p>
  <w:p w:rsidR="00CC4505" w:rsidRPr="008F3500" w:rsidRDefault="00CC450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www.mko.gov.si</w:t>
    </w:r>
  </w:p>
  <w:p w:rsidR="00CC4505" w:rsidRPr="008F3500" w:rsidRDefault="00CC450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CD2"/>
    <w:multiLevelType w:val="hybridMultilevel"/>
    <w:tmpl w:val="1310A3A2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0CB0B58"/>
    <w:multiLevelType w:val="hybridMultilevel"/>
    <w:tmpl w:val="B8B8126A"/>
    <w:lvl w:ilvl="0" w:tplc="0424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">
    <w:nsid w:val="056064AF"/>
    <w:multiLevelType w:val="hybridMultilevel"/>
    <w:tmpl w:val="47F2941E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54E46"/>
    <w:multiLevelType w:val="hybridMultilevel"/>
    <w:tmpl w:val="4854326A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EE0EFE"/>
    <w:multiLevelType w:val="hybridMultilevel"/>
    <w:tmpl w:val="D3CAAD96"/>
    <w:lvl w:ilvl="0" w:tplc="98522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0C49A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70C7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1E10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7E9A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8491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3C68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B619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F82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2C76C0"/>
    <w:multiLevelType w:val="hybridMultilevel"/>
    <w:tmpl w:val="6FD005B6"/>
    <w:lvl w:ilvl="0" w:tplc="C34853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6614A"/>
    <w:multiLevelType w:val="hybridMultilevel"/>
    <w:tmpl w:val="561A7834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4C0A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35D15A8"/>
    <w:multiLevelType w:val="hybridMultilevel"/>
    <w:tmpl w:val="F86E3D22"/>
    <w:lvl w:ilvl="0" w:tplc="CB0C49A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3F41E80"/>
    <w:multiLevelType w:val="hybridMultilevel"/>
    <w:tmpl w:val="EA02D164"/>
    <w:lvl w:ilvl="0" w:tplc="3BBE7BBA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DBA2883"/>
    <w:multiLevelType w:val="hybridMultilevel"/>
    <w:tmpl w:val="01EE4B2E"/>
    <w:lvl w:ilvl="0" w:tplc="8580217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504E0E"/>
    <w:multiLevelType w:val="hybridMultilevel"/>
    <w:tmpl w:val="EA9CEC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FD411F"/>
    <w:multiLevelType w:val="hybridMultilevel"/>
    <w:tmpl w:val="21D2E1BE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0C49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F11170"/>
    <w:multiLevelType w:val="hybridMultilevel"/>
    <w:tmpl w:val="3B4088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075421"/>
    <w:multiLevelType w:val="hybridMultilevel"/>
    <w:tmpl w:val="94B21386"/>
    <w:lvl w:ilvl="0" w:tplc="B8A630C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0C49A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2600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9C14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6811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7A79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7602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BE742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2C312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4A3CE0"/>
    <w:multiLevelType w:val="hybridMultilevel"/>
    <w:tmpl w:val="2A00B298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0C49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A7477C"/>
    <w:multiLevelType w:val="hybridMultilevel"/>
    <w:tmpl w:val="5A1EACDC"/>
    <w:lvl w:ilvl="0" w:tplc="CB0C49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D6B7702"/>
    <w:multiLevelType w:val="hybridMultilevel"/>
    <w:tmpl w:val="8BF480BA"/>
    <w:lvl w:ilvl="0" w:tplc="230AB962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  <w:color w:val="auto"/>
      </w:rPr>
    </w:lvl>
    <w:lvl w:ilvl="1" w:tplc="0424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E532EE"/>
    <w:multiLevelType w:val="hybridMultilevel"/>
    <w:tmpl w:val="050AB252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0C49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D90C30"/>
    <w:multiLevelType w:val="hybridMultilevel"/>
    <w:tmpl w:val="83D889E6"/>
    <w:lvl w:ilvl="0" w:tplc="89C4A592">
      <w:start w:val="1"/>
      <w:numFmt w:val="bullet"/>
      <w:lvlText w:val="−"/>
      <w:lvlJc w:val="left"/>
      <w:pPr>
        <w:ind w:left="720" w:hanging="360"/>
      </w:pPr>
      <w:rPr>
        <w:rFonts w:ascii="Arial Narrow" w:hAnsi="Arial Narro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265CDD"/>
    <w:multiLevelType w:val="hybridMultilevel"/>
    <w:tmpl w:val="BBCE4182"/>
    <w:lvl w:ilvl="0" w:tplc="98522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1C781A">
      <w:start w:val="680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70C7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1E10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7E9A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8491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3C68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B619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F82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E9000A"/>
    <w:multiLevelType w:val="hybridMultilevel"/>
    <w:tmpl w:val="756A01DA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D03365"/>
    <w:multiLevelType w:val="hybridMultilevel"/>
    <w:tmpl w:val="DBC4B1F8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0C49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C00C83"/>
    <w:multiLevelType w:val="hybridMultilevel"/>
    <w:tmpl w:val="3EDA8D94"/>
    <w:lvl w:ilvl="0" w:tplc="98522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0C49A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70C7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1E10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7E9A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8491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3C68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B619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F82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76382E"/>
    <w:multiLevelType w:val="hybridMultilevel"/>
    <w:tmpl w:val="10CE2D60"/>
    <w:lvl w:ilvl="0" w:tplc="34842062">
      <w:start w:val="1"/>
      <w:numFmt w:val="upperRoman"/>
      <w:lvlText w:val="%1."/>
      <w:lvlJc w:val="right"/>
      <w:pPr>
        <w:ind w:left="36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1F44C62"/>
    <w:multiLevelType w:val="hybridMultilevel"/>
    <w:tmpl w:val="54A84B98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BA6EBE"/>
    <w:multiLevelType w:val="hybridMultilevel"/>
    <w:tmpl w:val="89A865D6"/>
    <w:lvl w:ilvl="0" w:tplc="98522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0C49A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70C7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1E10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7E9A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8491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3C68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B619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F82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6A2E68"/>
    <w:multiLevelType w:val="hybridMultilevel"/>
    <w:tmpl w:val="653C0474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A54758"/>
    <w:multiLevelType w:val="hybridMultilevel"/>
    <w:tmpl w:val="56DA3A5E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0C49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620A2E"/>
    <w:multiLevelType w:val="hybridMultilevel"/>
    <w:tmpl w:val="6F86D41C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1A1E95"/>
    <w:multiLevelType w:val="hybridMultilevel"/>
    <w:tmpl w:val="DB92FF38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CE027D"/>
    <w:multiLevelType w:val="hybridMultilevel"/>
    <w:tmpl w:val="40F44B8C"/>
    <w:lvl w:ilvl="0" w:tplc="1EE2469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F20207"/>
    <w:multiLevelType w:val="hybridMultilevel"/>
    <w:tmpl w:val="0038C8A6"/>
    <w:lvl w:ilvl="0" w:tplc="CB0C49AC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3B603CF"/>
    <w:multiLevelType w:val="hybridMultilevel"/>
    <w:tmpl w:val="61D0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544FA9"/>
    <w:multiLevelType w:val="hybridMultilevel"/>
    <w:tmpl w:val="967EE95E"/>
    <w:lvl w:ilvl="0" w:tplc="CB0C49A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C915116"/>
    <w:multiLevelType w:val="hybridMultilevel"/>
    <w:tmpl w:val="121AD25C"/>
    <w:lvl w:ilvl="0" w:tplc="CB0C49A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713F3C2C"/>
    <w:multiLevelType w:val="hybridMultilevel"/>
    <w:tmpl w:val="6AA81A4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46C6DE">
      <w:start w:val="1094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2600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9C14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6811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7A79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7602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BE742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2C312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9C7C4C"/>
    <w:multiLevelType w:val="hybridMultilevel"/>
    <w:tmpl w:val="2550E1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7"/>
  </w:num>
  <w:num w:numId="3">
    <w:abstractNumId w:val="23"/>
  </w:num>
  <w:num w:numId="4">
    <w:abstractNumId w:val="4"/>
  </w:num>
  <w:num w:numId="5">
    <w:abstractNumId w:val="11"/>
  </w:num>
  <w:num w:numId="6">
    <w:abstractNumId w:val="12"/>
  </w:num>
  <w:num w:numId="7">
    <w:abstractNumId w:val="1"/>
  </w:num>
  <w:num w:numId="8">
    <w:abstractNumId w:val="35"/>
  </w:num>
  <w:num w:numId="9">
    <w:abstractNumId w:val="2"/>
  </w:num>
  <w:num w:numId="10">
    <w:abstractNumId w:val="25"/>
  </w:num>
  <w:num w:numId="11">
    <w:abstractNumId w:val="29"/>
  </w:num>
  <w:num w:numId="12">
    <w:abstractNumId w:val="31"/>
  </w:num>
  <w:num w:numId="13">
    <w:abstractNumId w:val="3"/>
  </w:num>
  <w:num w:numId="14">
    <w:abstractNumId w:val="34"/>
  </w:num>
  <w:num w:numId="15">
    <w:abstractNumId w:val="24"/>
  </w:num>
  <w:num w:numId="16">
    <w:abstractNumId w:val="30"/>
  </w:num>
  <w:num w:numId="17">
    <w:abstractNumId w:val="27"/>
  </w:num>
  <w:num w:numId="18">
    <w:abstractNumId w:val="5"/>
  </w:num>
  <w:num w:numId="19">
    <w:abstractNumId w:val="41"/>
  </w:num>
  <w:num w:numId="20">
    <w:abstractNumId w:val="16"/>
  </w:num>
  <w:num w:numId="21">
    <w:abstractNumId w:val="42"/>
  </w:num>
  <w:num w:numId="22">
    <w:abstractNumId w:val="18"/>
  </w:num>
  <w:num w:numId="23">
    <w:abstractNumId w:val="26"/>
  </w:num>
  <w:num w:numId="24">
    <w:abstractNumId w:val="15"/>
  </w:num>
  <w:num w:numId="25">
    <w:abstractNumId w:val="21"/>
  </w:num>
  <w:num w:numId="26">
    <w:abstractNumId w:val="7"/>
  </w:num>
  <w:num w:numId="27">
    <w:abstractNumId w:val="38"/>
  </w:num>
  <w:num w:numId="28">
    <w:abstractNumId w:val="32"/>
  </w:num>
  <w:num w:numId="29">
    <w:abstractNumId w:val="13"/>
  </w:num>
  <w:num w:numId="30">
    <w:abstractNumId w:val="14"/>
  </w:num>
  <w:num w:numId="31">
    <w:abstractNumId w:val="0"/>
  </w:num>
  <w:num w:numId="32">
    <w:abstractNumId w:val="39"/>
  </w:num>
  <w:num w:numId="33">
    <w:abstractNumId w:val="40"/>
  </w:num>
  <w:num w:numId="34">
    <w:abstractNumId w:val="9"/>
  </w:num>
  <w:num w:numId="35">
    <w:abstractNumId w:val="10"/>
  </w:num>
  <w:num w:numId="36">
    <w:abstractNumId w:val="22"/>
  </w:num>
  <w:num w:numId="37">
    <w:abstractNumId w:val="36"/>
  </w:num>
  <w:num w:numId="38">
    <w:abstractNumId w:val="33"/>
  </w:num>
  <w:num w:numId="39">
    <w:abstractNumId w:val="19"/>
  </w:num>
  <w:num w:numId="40">
    <w:abstractNumId w:val="28"/>
  </w:num>
  <w:num w:numId="41">
    <w:abstractNumId w:val="6"/>
  </w:num>
  <w:num w:numId="42">
    <w:abstractNumId w:val="20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29DA"/>
    <w:rsid w:val="00005FCD"/>
    <w:rsid w:val="00023A88"/>
    <w:rsid w:val="000256EE"/>
    <w:rsid w:val="00050B20"/>
    <w:rsid w:val="000552AC"/>
    <w:rsid w:val="0005547B"/>
    <w:rsid w:val="000930F7"/>
    <w:rsid w:val="000A7238"/>
    <w:rsid w:val="000C383C"/>
    <w:rsid w:val="0012497B"/>
    <w:rsid w:val="001357B2"/>
    <w:rsid w:val="00156708"/>
    <w:rsid w:val="001B09DA"/>
    <w:rsid w:val="00202A77"/>
    <w:rsid w:val="002124DB"/>
    <w:rsid w:val="00271CE5"/>
    <w:rsid w:val="00277AED"/>
    <w:rsid w:val="00282020"/>
    <w:rsid w:val="002A075A"/>
    <w:rsid w:val="002E1E66"/>
    <w:rsid w:val="00315261"/>
    <w:rsid w:val="00330D94"/>
    <w:rsid w:val="003518EB"/>
    <w:rsid w:val="003636BF"/>
    <w:rsid w:val="00373CE0"/>
    <w:rsid w:val="0037479F"/>
    <w:rsid w:val="003845B4"/>
    <w:rsid w:val="00387B1A"/>
    <w:rsid w:val="00393385"/>
    <w:rsid w:val="003B3527"/>
    <w:rsid w:val="003C537F"/>
    <w:rsid w:val="003E1C74"/>
    <w:rsid w:val="003F71E2"/>
    <w:rsid w:val="004114C5"/>
    <w:rsid w:val="0047518F"/>
    <w:rsid w:val="004A1AF0"/>
    <w:rsid w:val="005075AB"/>
    <w:rsid w:val="00526246"/>
    <w:rsid w:val="0056528D"/>
    <w:rsid w:val="00567106"/>
    <w:rsid w:val="00595E06"/>
    <w:rsid w:val="005B1731"/>
    <w:rsid w:val="005C2316"/>
    <w:rsid w:val="005C7364"/>
    <w:rsid w:val="005D2D68"/>
    <w:rsid w:val="005E1D3C"/>
    <w:rsid w:val="005F798A"/>
    <w:rsid w:val="00610900"/>
    <w:rsid w:val="00632253"/>
    <w:rsid w:val="006407D3"/>
    <w:rsid w:val="00642714"/>
    <w:rsid w:val="006455CE"/>
    <w:rsid w:val="00651BDC"/>
    <w:rsid w:val="006779D0"/>
    <w:rsid w:val="006D42D9"/>
    <w:rsid w:val="006D7E20"/>
    <w:rsid w:val="00700FED"/>
    <w:rsid w:val="00702A04"/>
    <w:rsid w:val="00725F58"/>
    <w:rsid w:val="00733017"/>
    <w:rsid w:val="00783310"/>
    <w:rsid w:val="0079207D"/>
    <w:rsid w:val="007A4A6D"/>
    <w:rsid w:val="007A696F"/>
    <w:rsid w:val="007C0E25"/>
    <w:rsid w:val="007D1BCF"/>
    <w:rsid w:val="007D66EA"/>
    <w:rsid w:val="007D75CF"/>
    <w:rsid w:val="007E6DC5"/>
    <w:rsid w:val="007F2089"/>
    <w:rsid w:val="0085583B"/>
    <w:rsid w:val="0088043C"/>
    <w:rsid w:val="008846BA"/>
    <w:rsid w:val="008906C9"/>
    <w:rsid w:val="008A2184"/>
    <w:rsid w:val="008A6171"/>
    <w:rsid w:val="008B2F9C"/>
    <w:rsid w:val="008C0E7A"/>
    <w:rsid w:val="008C183F"/>
    <w:rsid w:val="008C5738"/>
    <w:rsid w:val="008D04F0"/>
    <w:rsid w:val="008F3500"/>
    <w:rsid w:val="008F6621"/>
    <w:rsid w:val="00924E3C"/>
    <w:rsid w:val="009612BB"/>
    <w:rsid w:val="0099041B"/>
    <w:rsid w:val="009B5EB4"/>
    <w:rsid w:val="009B7465"/>
    <w:rsid w:val="00A125C5"/>
    <w:rsid w:val="00A31DE7"/>
    <w:rsid w:val="00A5039D"/>
    <w:rsid w:val="00A65224"/>
    <w:rsid w:val="00A65EE7"/>
    <w:rsid w:val="00A70133"/>
    <w:rsid w:val="00A71B81"/>
    <w:rsid w:val="00A76283"/>
    <w:rsid w:val="00A81505"/>
    <w:rsid w:val="00AA26A1"/>
    <w:rsid w:val="00B1432A"/>
    <w:rsid w:val="00B15B67"/>
    <w:rsid w:val="00B17141"/>
    <w:rsid w:val="00B31575"/>
    <w:rsid w:val="00B37FE5"/>
    <w:rsid w:val="00B40B82"/>
    <w:rsid w:val="00B461AF"/>
    <w:rsid w:val="00B469A6"/>
    <w:rsid w:val="00B7675C"/>
    <w:rsid w:val="00B8547D"/>
    <w:rsid w:val="00BD1586"/>
    <w:rsid w:val="00C075B5"/>
    <w:rsid w:val="00C250D5"/>
    <w:rsid w:val="00C36605"/>
    <w:rsid w:val="00C72A19"/>
    <w:rsid w:val="00C92898"/>
    <w:rsid w:val="00CA54B8"/>
    <w:rsid w:val="00CC4505"/>
    <w:rsid w:val="00CC7E79"/>
    <w:rsid w:val="00CD2672"/>
    <w:rsid w:val="00CE3258"/>
    <w:rsid w:val="00CE7514"/>
    <w:rsid w:val="00D04605"/>
    <w:rsid w:val="00D248DE"/>
    <w:rsid w:val="00D60FC9"/>
    <w:rsid w:val="00D8542D"/>
    <w:rsid w:val="00D85DC8"/>
    <w:rsid w:val="00D906D1"/>
    <w:rsid w:val="00DC6A71"/>
    <w:rsid w:val="00DE34B1"/>
    <w:rsid w:val="00DE5B46"/>
    <w:rsid w:val="00DF5F9F"/>
    <w:rsid w:val="00E0357D"/>
    <w:rsid w:val="00E24EC2"/>
    <w:rsid w:val="00E529D5"/>
    <w:rsid w:val="00E869FB"/>
    <w:rsid w:val="00EA7583"/>
    <w:rsid w:val="00EC1D63"/>
    <w:rsid w:val="00EC38EE"/>
    <w:rsid w:val="00EC60F6"/>
    <w:rsid w:val="00ED0102"/>
    <w:rsid w:val="00F0218C"/>
    <w:rsid w:val="00F240BB"/>
    <w:rsid w:val="00F46724"/>
    <w:rsid w:val="00F511C8"/>
    <w:rsid w:val="00F57FED"/>
    <w:rsid w:val="00F97DBB"/>
    <w:rsid w:val="00FC02D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02D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FC02D6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C72A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customStyle="1" w:styleId="Odstavekseznama1">
    <w:name w:val="Odstavek seznama1"/>
    <w:basedOn w:val="Navaden"/>
    <w:rsid w:val="00EA7583"/>
    <w:pPr>
      <w:spacing w:after="200" w:line="276" w:lineRule="auto"/>
      <w:ind w:left="720"/>
    </w:pPr>
    <w:rPr>
      <w:rFonts w:ascii="Calibri" w:hAnsi="Calibri"/>
      <w:sz w:val="22"/>
      <w:szCs w:val="22"/>
      <w:lang w:val="sl-SI"/>
    </w:rPr>
  </w:style>
  <w:style w:type="table" w:styleId="Svetelseznampoudarek5">
    <w:name w:val="Light List Accent 5"/>
    <w:basedOn w:val="Navadnatabela"/>
    <w:uiPriority w:val="61"/>
    <w:rsid w:val="00CC4505"/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NogaZnak">
    <w:name w:val="Noga Znak"/>
    <w:link w:val="Noga"/>
    <w:uiPriority w:val="99"/>
    <w:rsid w:val="00CC4505"/>
    <w:rPr>
      <w:rFonts w:ascii="Arial" w:hAnsi="Arial"/>
      <w:szCs w:val="24"/>
      <w:lang w:val="en-US" w:eastAsia="en-US"/>
    </w:rPr>
  </w:style>
  <w:style w:type="paragraph" w:customStyle="1" w:styleId="AStelo">
    <w:name w:val="AS telo"/>
    <w:basedOn w:val="Navaden"/>
    <w:qFormat/>
    <w:rsid w:val="005D2D68"/>
    <w:pPr>
      <w:spacing w:after="120" w:line="240" w:lineRule="auto"/>
      <w:jc w:val="both"/>
    </w:pPr>
    <w:rPr>
      <w:rFonts w:asciiTheme="minorHAnsi" w:hAnsiTheme="minorHAnsi" w:cstheme="minorHAnsi"/>
      <w:szCs w:val="20"/>
      <w:lang w:val="sl-SI"/>
    </w:rPr>
  </w:style>
  <w:style w:type="paragraph" w:customStyle="1" w:styleId="NumPar1">
    <w:name w:val="NumPar 1"/>
    <w:basedOn w:val="Navaden"/>
    <w:next w:val="Navaden"/>
    <w:rsid w:val="00B1432A"/>
    <w:pPr>
      <w:tabs>
        <w:tab w:val="num" w:pos="850"/>
        <w:tab w:val="num" w:pos="1080"/>
        <w:tab w:val="num" w:pos="1492"/>
      </w:tabs>
      <w:spacing w:before="120" w:after="120" w:line="240" w:lineRule="auto"/>
      <w:ind w:left="850" w:hanging="850"/>
      <w:jc w:val="both"/>
    </w:pPr>
    <w:rPr>
      <w:rFonts w:ascii="Times New Roman" w:hAnsi="Times New Roman"/>
      <w:snapToGrid w:val="0"/>
      <w:sz w:val="24"/>
      <w:lang w:val="en-GB"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02D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FC02D6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C72A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customStyle="1" w:styleId="Odstavekseznama1">
    <w:name w:val="Odstavek seznama1"/>
    <w:basedOn w:val="Navaden"/>
    <w:rsid w:val="00EA7583"/>
    <w:pPr>
      <w:spacing w:after="200" w:line="276" w:lineRule="auto"/>
      <w:ind w:left="720"/>
    </w:pPr>
    <w:rPr>
      <w:rFonts w:ascii="Calibri" w:hAnsi="Calibri"/>
      <w:sz w:val="22"/>
      <w:szCs w:val="22"/>
      <w:lang w:val="sl-SI"/>
    </w:rPr>
  </w:style>
  <w:style w:type="table" w:styleId="Svetelseznampoudarek5">
    <w:name w:val="Light List Accent 5"/>
    <w:basedOn w:val="Navadnatabela"/>
    <w:uiPriority w:val="61"/>
    <w:rsid w:val="00CC4505"/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NogaZnak">
    <w:name w:val="Noga Znak"/>
    <w:link w:val="Noga"/>
    <w:uiPriority w:val="99"/>
    <w:rsid w:val="00CC4505"/>
    <w:rPr>
      <w:rFonts w:ascii="Arial" w:hAnsi="Arial"/>
      <w:szCs w:val="24"/>
      <w:lang w:val="en-US" w:eastAsia="en-US"/>
    </w:rPr>
  </w:style>
  <w:style w:type="paragraph" w:customStyle="1" w:styleId="AStelo">
    <w:name w:val="AS telo"/>
    <w:basedOn w:val="Navaden"/>
    <w:qFormat/>
    <w:rsid w:val="005D2D68"/>
    <w:pPr>
      <w:spacing w:after="120" w:line="240" w:lineRule="auto"/>
      <w:jc w:val="both"/>
    </w:pPr>
    <w:rPr>
      <w:rFonts w:asciiTheme="minorHAnsi" w:hAnsiTheme="minorHAnsi" w:cstheme="minorHAnsi"/>
      <w:szCs w:val="20"/>
      <w:lang w:val="sl-SI"/>
    </w:rPr>
  </w:style>
  <w:style w:type="paragraph" w:customStyle="1" w:styleId="NumPar1">
    <w:name w:val="NumPar 1"/>
    <w:basedOn w:val="Navaden"/>
    <w:next w:val="Navaden"/>
    <w:rsid w:val="00B1432A"/>
    <w:pPr>
      <w:tabs>
        <w:tab w:val="num" w:pos="850"/>
        <w:tab w:val="num" w:pos="1080"/>
        <w:tab w:val="num" w:pos="1492"/>
      </w:tabs>
      <w:spacing w:before="120" w:after="120" w:line="240" w:lineRule="auto"/>
      <w:ind w:left="850" w:hanging="850"/>
      <w:jc w:val="both"/>
    </w:pPr>
    <w:rPr>
      <w:rFonts w:ascii="Times New Roman" w:hAnsi="Times New Roman"/>
      <w:snapToGrid w:val="0"/>
      <w:sz w:val="24"/>
      <w:lang w:val="en-GB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://europa.eu/abc/symbols/emblem/images/embl_monochrome.gif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2225</Words>
  <Characters>12689</Characters>
  <Application>Microsoft Office Word</Application>
  <DocSecurity>4</DocSecurity>
  <Lines>105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/>
  <LinksUpToDate>false</LinksUpToDate>
  <CharactersWithSpaces>14885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Tanja Gorišek</dc:creator>
  <cp:lastModifiedBy>barbara</cp:lastModifiedBy>
  <cp:revision>2</cp:revision>
  <cp:lastPrinted>2013-07-05T11:11:00Z</cp:lastPrinted>
  <dcterms:created xsi:type="dcterms:W3CDTF">2013-07-15T10:05:00Z</dcterms:created>
  <dcterms:modified xsi:type="dcterms:W3CDTF">2013-07-15T10:05:00Z</dcterms:modified>
</cp:coreProperties>
</file>